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794F" w14:textId="16BEB161" w:rsidR="00F15BAF" w:rsidRPr="00F15BAF" w:rsidRDefault="00F15BAF" w:rsidP="00F15BAF">
      <w:pPr>
        <w:pStyle w:val="Heading1"/>
        <w:spacing w:after="240"/>
        <w:rPr>
          <w:rFonts w:ascii="Century Gothic" w:hAnsi="Century Gothic"/>
        </w:rPr>
      </w:pPr>
      <w:bookmarkStart w:id="0" w:name="_Toc31891368"/>
      <w:r w:rsidRPr="00F15BAF">
        <w:rPr>
          <w:rFonts w:ascii="Century Gothic" w:hAnsi="Century Gothic"/>
          <w:noProof/>
          <w:lang w:eastAsia="en-GB"/>
        </w:rPr>
        <w:drawing>
          <wp:inline distT="0" distB="0" distL="0" distR="0" wp14:anchorId="2CA79C73" wp14:editId="345A6ABE">
            <wp:extent cx="2872735" cy="720000"/>
            <wp:effectExtent l="0" t="0" r="4445" b="4445"/>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2735" cy="720000"/>
                    </a:xfrm>
                    <a:prstGeom prst="rect">
                      <a:avLst/>
                    </a:prstGeom>
                  </pic:spPr>
                </pic:pic>
              </a:graphicData>
            </a:graphic>
          </wp:inline>
        </w:drawing>
      </w:r>
    </w:p>
    <w:p w14:paraId="4BEE6101" w14:textId="3A6C7F17" w:rsidR="00303928" w:rsidRPr="00F15BAF" w:rsidRDefault="00303928" w:rsidP="00F15BAF">
      <w:pPr>
        <w:pStyle w:val="Heading1"/>
        <w:spacing w:after="240"/>
        <w:rPr>
          <w:rFonts w:ascii="Century Gothic" w:hAnsi="Century Gothic"/>
          <w:color w:val="auto"/>
          <w:sz w:val="36"/>
          <w:szCs w:val="40"/>
        </w:rPr>
      </w:pPr>
      <w:r w:rsidRPr="00F15BAF">
        <w:rPr>
          <w:rFonts w:ascii="Century Gothic" w:hAnsi="Century Gothic"/>
          <w:color w:val="auto"/>
          <w:sz w:val="36"/>
          <w:szCs w:val="40"/>
        </w:rPr>
        <w:t>Whistleblowing Policy</w:t>
      </w:r>
      <w:bookmarkEnd w:id="0"/>
    </w:p>
    <w:p w14:paraId="130C3437" w14:textId="77777777" w:rsidR="00303928" w:rsidRPr="00F15BAF" w:rsidRDefault="00303928" w:rsidP="00565F2B">
      <w:pPr>
        <w:pStyle w:val="Heading2"/>
      </w:pPr>
      <w:r w:rsidRPr="00565F2B">
        <w:t>Purpose</w:t>
      </w:r>
      <w:r w:rsidRPr="00F15BAF">
        <w:t xml:space="preserve"> of this policy </w:t>
      </w:r>
    </w:p>
    <w:p w14:paraId="563BD515" w14:textId="77777777" w:rsidR="00303928" w:rsidRPr="00F15BAF" w:rsidRDefault="00303928" w:rsidP="00303928">
      <w:pPr>
        <w:rPr>
          <w:rFonts w:ascii="Century Gothic" w:hAnsi="Century Gothic"/>
          <w:color w:val="auto"/>
        </w:rPr>
      </w:pPr>
      <w:r w:rsidRPr="00F15BAF">
        <w:rPr>
          <w:rFonts w:ascii="Century Gothic" w:hAnsi="Century Gothic"/>
          <w:color w:val="auto"/>
        </w:rPr>
        <w:t xml:space="preserve">This policy sets out Healthwatch Sutton’s commitment to work effectively together to create a culture which is open and transparent. A culture in which individuals are supported to report concerns and safety issues, and are treated fairly, with empathy and consideration, when they have been involved in an incident or have raised a concern. Wherever possible the identity of the whistleblower will be protected. </w:t>
      </w:r>
    </w:p>
    <w:p w14:paraId="506A5BD2" w14:textId="4F88F463" w:rsidR="00303928" w:rsidRPr="00F15BAF" w:rsidRDefault="00303928" w:rsidP="00303928">
      <w:pPr>
        <w:rPr>
          <w:rFonts w:ascii="Century Gothic" w:hAnsi="Century Gothic"/>
          <w:color w:val="auto"/>
        </w:rPr>
      </w:pPr>
      <w:r w:rsidRPr="00F15BAF">
        <w:rPr>
          <w:rFonts w:ascii="Century Gothic" w:hAnsi="Century Gothic"/>
          <w:color w:val="auto"/>
        </w:rPr>
        <w:t>This document sets out the procedure that staff, directors and volunteers of Healthwatch Sutton can use to raise a concern about dangerous, illegal or improper activity (whistleblowing). Members of staff, directors and volunteers will not be disadvantaged in any way as a result of whistleblowing.</w:t>
      </w:r>
    </w:p>
    <w:p w14:paraId="2A671CF1" w14:textId="27A3A99F" w:rsidR="00951D07" w:rsidRPr="00F15BAF" w:rsidRDefault="00C82885" w:rsidP="00565F2B">
      <w:pPr>
        <w:pStyle w:val="Heading2"/>
      </w:pPr>
      <w:r w:rsidRPr="00F15BAF">
        <w:t>Complaints that count as whistleblowing</w:t>
      </w:r>
    </w:p>
    <w:p w14:paraId="50E88D7E" w14:textId="77777777" w:rsidR="006478C3" w:rsidRPr="00F15BAF" w:rsidRDefault="006478C3" w:rsidP="006478C3">
      <w:pPr>
        <w:spacing w:before="100" w:beforeAutospacing="1" w:after="100" w:afterAutospacing="1" w:line="240" w:lineRule="auto"/>
        <w:rPr>
          <w:rFonts w:ascii="Century Gothic" w:eastAsia="Times New Roman" w:hAnsi="Century Gothic" w:cs="Times New Roman"/>
          <w:color w:val="auto"/>
          <w:sz w:val="24"/>
          <w:szCs w:val="24"/>
          <w:lang w:eastAsia="en-GB"/>
        </w:rPr>
      </w:pPr>
      <w:r w:rsidRPr="00F15BAF">
        <w:rPr>
          <w:rFonts w:ascii="Century Gothic" w:eastAsia="Times New Roman" w:hAnsi="Century Gothic" w:cs="Times New Roman"/>
          <w:color w:val="auto"/>
          <w:sz w:val="24"/>
          <w:szCs w:val="24"/>
          <w:lang w:eastAsia="en-GB"/>
        </w:rPr>
        <w:t>You’re protected by law if you report any of the following:</w:t>
      </w:r>
    </w:p>
    <w:p w14:paraId="0488F750" w14:textId="77777777" w:rsidR="006478C3" w:rsidRPr="00F15BAF" w:rsidRDefault="006478C3" w:rsidP="006478C3">
      <w:pPr>
        <w:numPr>
          <w:ilvl w:val="0"/>
          <w:numId w:val="4"/>
        </w:numPr>
        <w:spacing w:before="100" w:beforeAutospacing="1" w:after="100" w:afterAutospacing="1" w:line="240" w:lineRule="auto"/>
        <w:rPr>
          <w:rFonts w:ascii="Century Gothic" w:eastAsia="Times New Roman" w:hAnsi="Century Gothic" w:cs="Times New Roman"/>
          <w:color w:val="auto"/>
          <w:sz w:val="24"/>
          <w:szCs w:val="24"/>
          <w:lang w:eastAsia="en-GB"/>
        </w:rPr>
      </w:pPr>
      <w:r w:rsidRPr="00F15BAF">
        <w:rPr>
          <w:rFonts w:ascii="Century Gothic" w:eastAsia="Times New Roman" w:hAnsi="Century Gothic" w:cs="Times New Roman"/>
          <w:color w:val="auto"/>
          <w:sz w:val="24"/>
          <w:szCs w:val="24"/>
          <w:lang w:eastAsia="en-GB"/>
        </w:rPr>
        <w:t>a criminal offence, for example fraud</w:t>
      </w:r>
    </w:p>
    <w:p w14:paraId="1584780E" w14:textId="77777777" w:rsidR="006478C3" w:rsidRPr="00F15BAF" w:rsidRDefault="006478C3" w:rsidP="006478C3">
      <w:pPr>
        <w:numPr>
          <w:ilvl w:val="0"/>
          <w:numId w:val="4"/>
        </w:numPr>
        <w:spacing w:before="100" w:beforeAutospacing="1" w:after="100" w:afterAutospacing="1" w:line="240" w:lineRule="auto"/>
        <w:rPr>
          <w:rFonts w:ascii="Century Gothic" w:eastAsia="Times New Roman" w:hAnsi="Century Gothic" w:cs="Times New Roman"/>
          <w:color w:val="auto"/>
          <w:sz w:val="24"/>
          <w:szCs w:val="24"/>
          <w:lang w:eastAsia="en-GB"/>
        </w:rPr>
      </w:pPr>
      <w:r w:rsidRPr="00F15BAF">
        <w:rPr>
          <w:rFonts w:ascii="Century Gothic" w:eastAsia="Times New Roman" w:hAnsi="Century Gothic" w:cs="Times New Roman"/>
          <w:color w:val="auto"/>
          <w:sz w:val="24"/>
          <w:szCs w:val="24"/>
          <w:lang w:eastAsia="en-GB"/>
        </w:rPr>
        <w:t>someone’s health and safety is in danger</w:t>
      </w:r>
    </w:p>
    <w:p w14:paraId="15FE6936" w14:textId="77777777" w:rsidR="006478C3" w:rsidRPr="00F15BAF" w:rsidRDefault="006478C3" w:rsidP="006478C3">
      <w:pPr>
        <w:numPr>
          <w:ilvl w:val="0"/>
          <w:numId w:val="4"/>
        </w:numPr>
        <w:spacing w:before="100" w:beforeAutospacing="1" w:after="100" w:afterAutospacing="1" w:line="240" w:lineRule="auto"/>
        <w:rPr>
          <w:rFonts w:ascii="Century Gothic" w:eastAsia="Times New Roman" w:hAnsi="Century Gothic" w:cs="Times New Roman"/>
          <w:color w:val="auto"/>
          <w:sz w:val="24"/>
          <w:szCs w:val="24"/>
          <w:lang w:eastAsia="en-GB"/>
        </w:rPr>
      </w:pPr>
      <w:r w:rsidRPr="00F15BAF">
        <w:rPr>
          <w:rFonts w:ascii="Century Gothic" w:eastAsia="Times New Roman" w:hAnsi="Century Gothic" w:cs="Times New Roman"/>
          <w:color w:val="auto"/>
          <w:sz w:val="24"/>
          <w:szCs w:val="24"/>
          <w:lang w:eastAsia="en-GB"/>
        </w:rPr>
        <w:t>risk or actual damage to the environment</w:t>
      </w:r>
    </w:p>
    <w:p w14:paraId="5C16F1F7" w14:textId="77777777" w:rsidR="006478C3" w:rsidRPr="00F15BAF" w:rsidRDefault="006478C3" w:rsidP="006478C3">
      <w:pPr>
        <w:numPr>
          <w:ilvl w:val="0"/>
          <w:numId w:val="4"/>
        </w:numPr>
        <w:spacing w:before="100" w:beforeAutospacing="1" w:after="100" w:afterAutospacing="1" w:line="240" w:lineRule="auto"/>
        <w:rPr>
          <w:rFonts w:ascii="Century Gothic" w:eastAsia="Times New Roman" w:hAnsi="Century Gothic" w:cs="Times New Roman"/>
          <w:color w:val="auto"/>
          <w:sz w:val="24"/>
          <w:szCs w:val="24"/>
          <w:lang w:eastAsia="en-GB"/>
        </w:rPr>
      </w:pPr>
      <w:r w:rsidRPr="00F15BAF">
        <w:rPr>
          <w:rFonts w:ascii="Century Gothic" w:eastAsia="Times New Roman" w:hAnsi="Century Gothic" w:cs="Times New Roman"/>
          <w:color w:val="auto"/>
          <w:sz w:val="24"/>
          <w:szCs w:val="24"/>
          <w:lang w:eastAsia="en-GB"/>
        </w:rPr>
        <w:t>a miscarriage of justice</w:t>
      </w:r>
    </w:p>
    <w:p w14:paraId="774D7728" w14:textId="77777777" w:rsidR="006478C3" w:rsidRPr="00F15BAF" w:rsidRDefault="006478C3" w:rsidP="006478C3">
      <w:pPr>
        <w:numPr>
          <w:ilvl w:val="0"/>
          <w:numId w:val="4"/>
        </w:numPr>
        <w:spacing w:before="100" w:beforeAutospacing="1" w:after="100" w:afterAutospacing="1" w:line="240" w:lineRule="auto"/>
        <w:rPr>
          <w:rFonts w:ascii="Century Gothic" w:eastAsia="Times New Roman" w:hAnsi="Century Gothic" w:cs="Times New Roman"/>
          <w:color w:val="auto"/>
          <w:sz w:val="24"/>
          <w:szCs w:val="24"/>
          <w:lang w:eastAsia="en-GB"/>
        </w:rPr>
      </w:pPr>
      <w:r w:rsidRPr="00F15BAF">
        <w:rPr>
          <w:rFonts w:ascii="Century Gothic" w:eastAsia="Times New Roman" w:hAnsi="Century Gothic" w:cs="Times New Roman"/>
          <w:color w:val="auto"/>
          <w:sz w:val="24"/>
          <w:szCs w:val="24"/>
          <w:lang w:eastAsia="en-GB"/>
        </w:rPr>
        <w:t>the company is breaking the law, for example does not have the right insurance</w:t>
      </w:r>
    </w:p>
    <w:p w14:paraId="71E11EFB" w14:textId="77777777" w:rsidR="006478C3" w:rsidRPr="00F15BAF" w:rsidRDefault="006478C3" w:rsidP="006478C3">
      <w:pPr>
        <w:numPr>
          <w:ilvl w:val="0"/>
          <w:numId w:val="4"/>
        </w:numPr>
        <w:spacing w:before="100" w:beforeAutospacing="1" w:after="100" w:afterAutospacing="1" w:line="240" w:lineRule="auto"/>
        <w:rPr>
          <w:rFonts w:ascii="Century Gothic" w:eastAsia="Times New Roman" w:hAnsi="Century Gothic" w:cs="Times New Roman"/>
          <w:color w:val="auto"/>
          <w:sz w:val="24"/>
          <w:szCs w:val="24"/>
          <w:lang w:eastAsia="en-GB"/>
        </w:rPr>
      </w:pPr>
      <w:r w:rsidRPr="00F15BAF">
        <w:rPr>
          <w:rFonts w:ascii="Century Gothic" w:eastAsia="Times New Roman" w:hAnsi="Century Gothic" w:cs="Times New Roman"/>
          <w:color w:val="auto"/>
          <w:sz w:val="24"/>
          <w:szCs w:val="24"/>
          <w:lang w:eastAsia="en-GB"/>
        </w:rPr>
        <w:t>you believe someone is covering up wrongdoing</w:t>
      </w:r>
    </w:p>
    <w:p w14:paraId="7374EF19" w14:textId="4450F9C7" w:rsidR="00C82885" w:rsidRPr="00F15BAF" w:rsidRDefault="006478C3" w:rsidP="00303928">
      <w:pPr>
        <w:rPr>
          <w:rFonts w:ascii="Century Gothic" w:hAnsi="Century Gothic"/>
          <w:color w:val="auto"/>
        </w:rPr>
      </w:pPr>
      <w:r w:rsidRPr="00F15BAF">
        <w:rPr>
          <w:rFonts w:ascii="Century Gothic" w:hAnsi="Century Gothic"/>
          <w:color w:val="auto"/>
        </w:rPr>
        <w:t>Personal grievances (for example bullying, harassment, discrimination) are not covered by whistleblowing law, unless your particular case is in the public interest. You should report these under HSW’s complaints or equality and diversity policies.</w:t>
      </w:r>
    </w:p>
    <w:p w14:paraId="1B517549" w14:textId="266714E6" w:rsidR="00303928" w:rsidRPr="00F15BAF" w:rsidRDefault="00303928" w:rsidP="00565F2B">
      <w:pPr>
        <w:pStyle w:val="Heading2"/>
      </w:pPr>
      <w:r w:rsidRPr="00F15BAF">
        <w:t>Who</w:t>
      </w:r>
      <w:r w:rsidR="00184570" w:rsidRPr="00F15BAF">
        <w:t>m</w:t>
      </w:r>
      <w:r w:rsidRPr="00F15BAF">
        <w:t xml:space="preserve"> to contact </w:t>
      </w:r>
    </w:p>
    <w:p w14:paraId="1F0D3DE0" w14:textId="77777777" w:rsidR="00303928" w:rsidRPr="00F15BAF" w:rsidRDefault="00303928" w:rsidP="00303928">
      <w:pPr>
        <w:pStyle w:val="Heading3"/>
        <w:rPr>
          <w:rFonts w:ascii="Century Gothic" w:hAnsi="Century Gothic"/>
        </w:rPr>
      </w:pPr>
      <w:r w:rsidRPr="00F15BAF">
        <w:rPr>
          <w:rFonts w:ascii="Century Gothic" w:hAnsi="Century Gothic"/>
        </w:rPr>
        <w:t xml:space="preserve">Step 1 </w:t>
      </w:r>
    </w:p>
    <w:p w14:paraId="5A0B715F" w14:textId="0A86192C" w:rsidR="00303928" w:rsidRPr="00F15BAF" w:rsidRDefault="00303928" w:rsidP="00303928">
      <w:pPr>
        <w:rPr>
          <w:rFonts w:ascii="Century Gothic" w:hAnsi="Century Gothic"/>
          <w:color w:val="auto"/>
        </w:rPr>
      </w:pPr>
      <w:r w:rsidRPr="00F15BAF">
        <w:rPr>
          <w:rFonts w:ascii="Century Gothic" w:hAnsi="Century Gothic"/>
          <w:color w:val="auto"/>
        </w:rPr>
        <w:t xml:space="preserve">Wherever possible, concerns should be raised with your immediate line manager. If you do not feel comfortable doing so, then with </w:t>
      </w:r>
      <w:r w:rsidR="00C42561" w:rsidRPr="00F15BAF">
        <w:rPr>
          <w:rFonts w:ascii="Century Gothic" w:hAnsi="Century Gothic"/>
          <w:color w:val="auto"/>
        </w:rPr>
        <w:t xml:space="preserve">the </w:t>
      </w:r>
      <w:r w:rsidRPr="00F15BAF">
        <w:rPr>
          <w:rFonts w:ascii="Century Gothic" w:hAnsi="Century Gothic"/>
          <w:color w:val="auto"/>
        </w:rPr>
        <w:t xml:space="preserve">CEO, or if this is the same person, the HWS Chair. Failing that, concerns can be raised with another member of the HWS Board. </w:t>
      </w:r>
    </w:p>
    <w:p w14:paraId="04092FCB" w14:textId="77777777" w:rsidR="00303928" w:rsidRPr="00F15BAF" w:rsidRDefault="00303928" w:rsidP="00303928">
      <w:pPr>
        <w:pStyle w:val="Heading3"/>
        <w:rPr>
          <w:rFonts w:ascii="Century Gothic" w:hAnsi="Century Gothic"/>
        </w:rPr>
      </w:pPr>
      <w:r w:rsidRPr="00F15BAF">
        <w:rPr>
          <w:rFonts w:ascii="Century Gothic" w:hAnsi="Century Gothic"/>
        </w:rPr>
        <w:t xml:space="preserve">Step 2 </w:t>
      </w:r>
    </w:p>
    <w:p w14:paraId="6F7B2FE6" w14:textId="77777777" w:rsidR="00303928" w:rsidRPr="00F15BAF" w:rsidRDefault="00303928" w:rsidP="00303928">
      <w:pPr>
        <w:rPr>
          <w:rFonts w:ascii="Century Gothic" w:hAnsi="Century Gothic"/>
          <w:color w:val="auto"/>
        </w:rPr>
      </w:pPr>
      <w:r w:rsidRPr="00F15BAF">
        <w:rPr>
          <w:rFonts w:ascii="Century Gothic" w:hAnsi="Century Gothic"/>
          <w:color w:val="auto"/>
        </w:rPr>
        <w:t xml:space="preserve">The CEO will appoint an Investigating Officer and oversee the operation. The HWS Chair will oversee any issues involving the CEO. </w:t>
      </w:r>
    </w:p>
    <w:p w14:paraId="63E96A63" w14:textId="77777777" w:rsidR="00303928" w:rsidRPr="00F15BAF" w:rsidRDefault="00303928" w:rsidP="00565F2B">
      <w:pPr>
        <w:pStyle w:val="Heading2"/>
      </w:pPr>
      <w:r w:rsidRPr="00F15BAF">
        <w:lastRenderedPageBreak/>
        <w:t xml:space="preserve">Investigating the concern </w:t>
      </w:r>
    </w:p>
    <w:p w14:paraId="0CA33E18" w14:textId="77777777" w:rsidR="00303928" w:rsidRPr="00F15BAF" w:rsidRDefault="00303928" w:rsidP="00303928">
      <w:pPr>
        <w:pStyle w:val="Heading3"/>
        <w:rPr>
          <w:rFonts w:ascii="Century Gothic" w:hAnsi="Century Gothic"/>
        </w:rPr>
      </w:pPr>
      <w:r w:rsidRPr="00F15BAF">
        <w:rPr>
          <w:rFonts w:ascii="Century Gothic" w:hAnsi="Century Gothic"/>
        </w:rPr>
        <w:t xml:space="preserve">Step 3 </w:t>
      </w:r>
    </w:p>
    <w:p w14:paraId="6D91E84C" w14:textId="77777777" w:rsidR="00303928" w:rsidRPr="00F15BAF" w:rsidRDefault="00303928" w:rsidP="00303928">
      <w:pPr>
        <w:rPr>
          <w:rFonts w:ascii="Century Gothic" w:hAnsi="Century Gothic"/>
          <w:color w:val="auto"/>
        </w:rPr>
      </w:pPr>
      <w:r w:rsidRPr="00F15BAF">
        <w:rPr>
          <w:rFonts w:ascii="Century Gothic" w:hAnsi="Century Gothic"/>
          <w:color w:val="auto"/>
        </w:rPr>
        <w:t>Within five working days of raising your concern, the Investigating Officer will contact you to:</w:t>
      </w:r>
    </w:p>
    <w:p w14:paraId="118993B0" w14:textId="59596F92" w:rsidR="00303928" w:rsidRPr="00F15BAF" w:rsidRDefault="00303928" w:rsidP="00303928">
      <w:pPr>
        <w:pStyle w:val="ListParagraph"/>
        <w:numPr>
          <w:ilvl w:val="0"/>
          <w:numId w:val="2"/>
        </w:numPr>
        <w:rPr>
          <w:rFonts w:ascii="Century Gothic" w:hAnsi="Century Gothic"/>
          <w:color w:val="auto"/>
        </w:rPr>
      </w:pPr>
      <w:r w:rsidRPr="00F15BAF">
        <w:rPr>
          <w:rFonts w:ascii="Century Gothic" w:hAnsi="Century Gothic"/>
          <w:color w:val="auto"/>
        </w:rPr>
        <w:t xml:space="preserve">Confirm </w:t>
      </w:r>
      <w:r w:rsidR="00D809EF" w:rsidRPr="00F15BAF">
        <w:rPr>
          <w:rFonts w:ascii="Century Gothic" w:hAnsi="Century Gothic"/>
          <w:color w:val="auto"/>
        </w:rPr>
        <w:t xml:space="preserve">to you </w:t>
      </w:r>
      <w:r w:rsidRPr="00F15BAF">
        <w:rPr>
          <w:rFonts w:ascii="Century Gothic" w:hAnsi="Century Gothic"/>
          <w:color w:val="auto"/>
        </w:rPr>
        <w:t xml:space="preserve">that </w:t>
      </w:r>
      <w:r w:rsidR="00D809EF" w:rsidRPr="00F15BAF">
        <w:rPr>
          <w:rFonts w:ascii="Century Gothic" w:hAnsi="Century Gothic"/>
          <w:color w:val="auto"/>
        </w:rPr>
        <w:t xml:space="preserve">they </w:t>
      </w:r>
      <w:r w:rsidRPr="00F15BAF">
        <w:rPr>
          <w:rFonts w:ascii="Century Gothic" w:hAnsi="Century Gothic"/>
          <w:color w:val="auto"/>
        </w:rPr>
        <w:t>are handling the matter.</w:t>
      </w:r>
    </w:p>
    <w:p w14:paraId="65F385F3" w14:textId="77777777" w:rsidR="00303928" w:rsidRPr="00F15BAF" w:rsidRDefault="00303928" w:rsidP="00303928">
      <w:pPr>
        <w:pStyle w:val="ListParagraph"/>
        <w:numPr>
          <w:ilvl w:val="0"/>
          <w:numId w:val="2"/>
        </w:numPr>
        <w:rPr>
          <w:rFonts w:ascii="Century Gothic" w:hAnsi="Century Gothic"/>
          <w:color w:val="auto"/>
        </w:rPr>
      </w:pPr>
      <w:r w:rsidRPr="00F15BAF">
        <w:rPr>
          <w:rFonts w:ascii="Century Gothic" w:hAnsi="Century Gothic"/>
          <w:color w:val="auto"/>
        </w:rPr>
        <w:t xml:space="preserve">Provide their contact details. </w:t>
      </w:r>
    </w:p>
    <w:p w14:paraId="4A66B243" w14:textId="77777777" w:rsidR="00303928" w:rsidRPr="00F15BAF" w:rsidRDefault="00303928" w:rsidP="00303928">
      <w:pPr>
        <w:pStyle w:val="ListParagraph"/>
        <w:numPr>
          <w:ilvl w:val="0"/>
          <w:numId w:val="2"/>
        </w:numPr>
        <w:rPr>
          <w:rFonts w:ascii="Century Gothic" w:hAnsi="Century Gothic"/>
          <w:color w:val="auto"/>
        </w:rPr>
      </w:pPr>
      <w:r w:rsidRPr="00F15BAF">
        <w:rPr>
          <w:rFonts w:ascii="Century Gothic" w:hAnsi="Century Gothic"/>
          <w:color w:val="auto"/>
        </w:rPr>
        <w:t xml:space="preserve">Confirm whether any further details will be required. </w:t>
      </w:r>
    </w:p>
    <w:p w14:paraId="60D19F43" w14:textId="77777777" w:rsidR="00303928" w:rsidRPr="00F15BAF" w:rsidRDefault="00303928" w:rsidP="00303928">
      <w:pPr>
        <w:pStyle w:val="ListParagraph"/>
        <w:numPr>
          <w:ilvl w:val="0"/>
          <w:numId w:val="2"/>
        </w:numPr>
        <w:rPr>
          <w:rFonts w:ascii="Century Gothic" w:hAnsi="Century Gothic"/>
          <w:color w:val="auto"/>
        </w:rPr>
      </w:pPr>
      <w:r w:rsidRPr="00F15BAF">
        <w:rPr>
          <w:rFonts w:ascii="Century Gothic" w:hAnsi="Century Gothic"/>
          <w:color w:val="auto"/>
        </w:rPr>
        <w:t xml:space="preserve">Provide you with a written summary of the concern. </w:t>
      </w:r>
    </w:p>
    <w:p w14:paraId="64D7AEE5" w14:textId="77777777" w:rsidR="00303928" w:rsidRPr="00F15BAF" w:rsidRDefault="00303928" w:rsidP="00303928">
      <w:pPr>
        <w:pStyle w:val="ListParagraph"/>
        <w:numPr>
          <w:ilvl w:val="0"/>
          <w:numId w:val="2"/>
        </w:numPr>
        <w:rPr>
          <w:rFonts w:ascii="Century Gothic" w:hAnsi="Century Gothic"/>
          <w:color w:val="auto"/>
        </w:rPr>
      </w:pPr>
      <w:r w:rsidRPr="00F15BAF">
        <w:rPr>
          <w:rFonts w:ascii="Century Gothic" w:hAnsi="Century Gothic"/>
          <w:color w:val="auto"/>
        </w:rPr>
        <w:t xml:space="preserve">Indicate how the investigation will be handled and an initial estimation of the timescale. </w:t>
      </w:r>
    </w:p>
    <w:p w14:paraId="415D7410" w14:textId="77777777" w:rsidR="00303928" w:rsidRPr="00F15BAF" w:rsidRDefault="00303928" w:rsidP="00303928">
      <w:pPr>
        <w:pStyle w:val="Heading3"/>
        <w:rPr>
          <w:rFonts w:ascii="Century Gothic" w:hAnsi="Century Gothic"/>
        </w:rPr>
      </w:pPr>
      <w:r w:rsidRPr="00F15BAF">
        <w:rPr>
          <w:rFonts w:ascii="Century Gothic" w:hAnsi="Century Gothic"/>
        </w:rPr>
        <w:t xml:space="preserve">Step 4 </w:t>
      </w:r>
    </w:p>
    <w:p w14:paraId="393A60BB" w14:textId="77777777" w:rsidR="00303928" w:rsidRPr="00F15BAF" w:rsidRDefault="00303928" w:rsidP="00303928">
      <w:pPr>
        <w:rPr>
          <w:rFonts w:ascii="Century Gothic" w:hAnsi="Century Gothic"/>
          <w:color w:val="auto"/>
        </w:rPr>
      </w:pPr>
      <w:r w:rsidRPr="00F15BAF">
        <w:rPr>
          <w:rFonts w:ascii="Century Gothic" w:hAnsi="Century Gothic"/>
          <w:color w:val="auto"/>
        </w:rPr>
        <w:t>You will be:</w:t>
      </w:r>
    </w:p>
    <w:p w14:paraId="0F9DB463" w14:textId="77777777" w:rsidR="00303928" w:rsidRPr="00F15BAF" w:rsidRDefault="00303928" w:rsidP="00303928">
      <w:pPr>
        <w:pStyle w:val="ListParagraph"/>
        <w:numPr>
          <w:ilvl w:val="0"/>
          <w:numId w:val="3"/>
        </w:numPr>
        <w:rPr>
          <w:rFonts w:ascii="Century Gothic" w:hAnsi="Century Gothic"/>
          <w:color w:val="auto"/>
        </w:rPr>
      </w:pPr>
      <w:r w:rsidRPr="00F15BAF">
        <w:rPr>
          <w:rFonts w:ascii="Century Gothic" w:hAnsi="Century Gothic"/>
          <w:color w:val="auto"/>
        </w:rPr>
        <w:t xml:space="preserve">Kept informed of the timetable for the investigation. </w:t>
      </w:r>
    </w:p>
    <w:p w14:paraId="301DF443" w14:textId="77777777" w:rsidR="00303928" w:rsidRPr="00F15BAF" w:rsidRDefault="00303928" w:rsidP="00303928">
      <w:pPr>
        <w:pStyle w:val="ListParagraph"/>
        <w:numPr>
          <w:ilvl w:val="0"/>
          <w:numId w:val="3"/>
        </w:numPr>
        <w:rPr>
          <w:rFonts w:ascii="Century Gothic" w:hAnsi="Century Gothic"/>
          <w:color w:val="auto"/>
        </w:rPr>
      </w:pPr>
      <w:r w:rsidRPr="00F15BAF">
        <w:rPr>
          <w:rFonts w:ascii="Century Gothic" w:hAnsi="Century Gothic"/>
          <w:color w:val="auto"/>
        </w:rPr>
        <w:t xml:space="preserve">Supplied with information on support available to you. </w:t>
      </w:r>
    </w:p>
    <w:p w14:paraId="08306DF5" w14:textId="77777777" w:rsidR="00303928" w:rsidRPr="00F15BAF" w:rsidRDefault="00303928" w:rsidP="00303928">
      <w:pPr>
        <w:pStyle w:val="ListParagraph"/>
        <w:numPr>
          <w:ilvl w:val="0"/>
          <w:numId w:val="3"/>
        </w:numPr>
        <w:rPr>
          <w:rFonts w:ascii="Century Gothic" w:hAnsi="Century Gothic"/>
          <w:color w:val="auto"/>
        </w:rPr>
      </w:pPr>
      <w:r w:rsidRPr="00F15BAF">
        <w:rPr>
          <w:rFonts w:ascii="Century Gothic" w:hAnsi="Century Gothic"/>
          <w:color w:val="auto"/>
        </w:rPr>
        <w:t xml:space="preserve">Informed whether further investigations will take place and if not, why not. </w:t>
      </w:r>
    </w:p>
    <w:p w14:paraId="33978B1B" w14:textId="43BB2AC6" w:rsidR="00303928" w:rsidRPr="00F15BAF" w:rsidRDefault="00303928" w:rsidP="00303928">
      <w:pPr>
        <w:rPr>
          <w:rFonts w:ascii="Century Gothic" w:hAnsi="Century Gothic"/>
          <w:color w:val="auto"/>
        </w:rPr>
      </w:pPr>
      <w:r w:rsidRPr="00F15BAF">
        <w:rPr>
          <w:rFonts w:ascii="Century Gothic" w:hAnsi="Century Gothic"/>
          <w:color w:val="auto"/>
        </w:rPr>
        <w:t xml:space="preserve">All relevant parties involved in the disclosure of wrongdoing will be notified of the outcomes of the investigation in writing. </w:t>
      </w:r>
    </w:p>
    <w:p w14:paraId="57C05656" w14:textId="77777777" w:rsidR="00303928" w:rsidRPr="00F15BAF" w:rsidRDefault="00303928" w:rsidP="00565F2B">
      <w:pPr>
        <w:pStyle w:val="Heading2"/>
      </w:pPr>
      <w:r w:rsidRPr="00F15BAF">
        <w:t xml:space="preserve">Further concerns </w:t>
      </w:r>
    </w:p>
    <w:p w14:paraId="08BCFEAE" w14:textId="61F71226" w:rsidR="00303928" w:rsidRPr="00F15BAF" w:rsidRDefault="00303928" w:rsidP="00303928">
      <w:pPr>
        <w:spacing w:before="240"/>
        <w:rPr>
          <w:rFonts w:ascii="Century Gothic" w:hAnsi="Century Gothic"/>
          <w:color w:val="auto"/>
        </w:rPr>
      </w:pPr>
      <w:r w:rsidRPr="00F15BAF">
        <w:rPr>
          <w:rFonts w:ascii="Century Gothic" w:hAnsi="Century Gothic"/>
          <w:color w:val="auto"/>
        </w:rPr>
        <w:t xml:space="preserve">If you consider that the cause for concern has not been resolved by the investigation then you should inform the Chair of the </w:t>
      </w:r>
      <w:r w:rsidR="00E91B0D" w:rsidRPr="00F15BAF">
        <w:rPr>
          <w:rFonts w:ascii="Century Gothic" w:hAnsi="Century Gothic"/>
          <w:color w:val="auto"/>
        </w:rPr>
        <w:t xml:space="preserve">HWS </w:t>
      </w:r>
      <w:r w:rsidRPr="00F15BAF">
        <w:rPr>
          <w:rFonts w:ascii="Century Gothic" w:hAnsi="Century Gothic"/>
          <w:color w:val="auto"/>
        </w:rPr>
        <w:t xml:space="preserve">Board who will then appoint a Member of the Board to review the concern and the outcome of the investigation and consider whether further steps need to be taken to prevent further dangerous, illegal or improper activity. </w:t>
      </w:r>
    </w:p>
    <w:p w14:paraId="55832018" w14:textId="77777777" w:rsidR="00303928" w:rsidRPr="00F15BAF" w:rsidRDefault="00303928" w:rsidP="00565F2B">
      <w:pPr>
        <w:pStyle w:val="Heading2"/>
      </w:pPr>
      <w:r w:rsidRPr="00F15BAF">
        <w:t>Safeguarding concerns</w:t>
      </w:r>
    </w:p>
    <w:p w14:paraId="22730C1E" w14:textId="77777777" w:rsidR="00303928" w:rsidRPr="00F15BAF" w:rsidRDefault="00303928" w:rsidP="00303928">
      <w:pPr>
        <w:spacing w:before="240"/>
        <w:rPr>
          <w:rFonts w:ascii="Century Gothic" w:hAnsi="Century Gothic"/>
          <w:color w:val="auto"/>
        </w:rPr>
      </w:pPr>
      <w:r w:rsidRPr="00F15BAF">
        <w:rPr>
          <w:rFonts w:ascii="Century Gothic" w:hAnsi="Century Gothic"/>
          <w:color w:val="auto"/>
        </w:rPr>
        <w:t xml:space="preserve">Where the concern related to safeguarding the appropriate HWS Safeguarding Policy will be invoked. </w:t>
      </w:r>
    </w:p>
    <w:p w14:paraId="32A494BF" w14:textId="77777777" w:rsidR="00303928" w:rsidRPr="00F15BAF" w:rsidRDefault="00303928" w:rsidP="00303928">
      <w:pPr>
        <w:spacing w:before="240"/>
        <w:rPr>
          <w:rFonts w:ascii="Century Gothic" w:hAnsi="Century Gothic"/>
        </w:rPr>
      </w:pPr>
    </w:p>
    <w:p w14:paraId="5D626D2D" w14:textId="77777777" w:rsidR="00303928" w:rsidRPr="00F15BAF" w:rsidRDefault="00303928" w:rsidP="00303928">
      <w:pPr>
        <w:spacing w:before="240"/>
        <w:rPr>
          <w:rFonts w:ascii="Century Gothic" w:hAnsi="Century Gothic"/>
        </w:rPr>
      </w:pPr>
    </w:p>
    <w:p w14:paraId="24034EB6" w14:textId="77777777" w:rsidR="00303928" w:rsidRPr="00F15BAF" w:rsidRDefault="00303928" w:rsidP="00303928">
      <w:pPr>
        <w:rPr>
          <w:rFonts w:ascii="Century Gothic" w:hAnsi="Century Gothic"/>
        </w:rPr>
      </w:pPr>
    </w:p>
    <w:p w14:paraId="2DEF5D28" w14:textId="77777777" w:rsidR="007A0407" w:rsidRPr="00F15BAF" w:rsidRDefault="007A0407">
      <w:pPr>
        <w:rPr>
          <w:rFonts w:ascii="Century Gothic" w:hAnsi="Century Gothic"/>
        </w:rPr>
      </w:pPr>
    </w:p>
    <w:sectPr w:rsidR="007A0407" w:rsidRPr="00F15BA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49DB" w14:textId="77777777" w:rsidR="00457859" w:rsidRDefault="00457859" w:rsidP="00303928">
      <w:pPr>
        <w:spacing w:after="0" w:line="240" w:lineRule="auto"/>
      </w:pPr>
      <w:r>
        <w:separator/>
      </w:r>
    </w:p>
  </w:endnote>
  <w:endnote w:type="continuationSeparator" w:id="0">
    <w:p w14:paraId="247DF7CB" w14:textId="77777777" w:rsidR="00457859" w:rsidRDefault="00457859" w:rsidP="0030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7DFD" w14:textId="5F16121E" w:rsidR="00AB13DC" w:rsidRPr="00FA676C" w:rsidRDefault="00055D0A" w:rsidP="00AB13DC">
    <w:pPr>
      <w:pStyle w:val="Footer"/>
      <w:jc w:val="right"/>
      <w:rPr>
        <w:rFonts w:ascii="Century Gothic" w:hAnsi="Century Gothic"/>
        <w:b/>
        <w:bCs/>
        <w:color w:val="E73E97"/>
      </w:rPr>
    </w:pPr>
    <w:r w:rsidRPr="00FA676C">
      <w:rPr>
        <w:rFonts w:ascii="Century Gothic" w:hAnsi="Century Gothic"/>
        <w:b/>
        <w:bCs/>
        <w:color w:val="E73E97"/>
      </w:rPr>
      <w:t xml:space="preserve">To be </w:t>
    </w:r>
    <w:r w:rsidR="00AB13DC" w:rsidRPr="00FA676C">
      <w:rPr>
        <w:rFonts w:ascii="Century Gothic" w:hAnsi="Century Gothic"/>
        <w:b/>
        <w:bCs/>
        <w:color w:val="E73E97"/>
      </w:rPr>
      <w:t>r</w:t>
    </w:r>
    <w:r w:rsidR="009C309F" w:rsidRPr="00FA676C">
      <w:rPr>
        <w:rFonts w:ascii="Century Gothic" w:hAnsi="Century Gothic"/>
        <w:b/>
        <w:bCs/>
        <w:color w:val="E73E97"/>
      </w:rPr>
      <w:t>eview</w:t>
    </w:r>
    <w:r w:rsidR="00AB13DC" w:rsidRPr="00FA676C">
      <w:rPr>
        <w:rFonts w:ascii="Century Gothic" w:hAnsi="Century Gothic"/>
        <w:b/>
        <w:bCs/>
        <w:color w:val="E73E97"/>
      </w:rPr>
      <w:t>ed:</w:t>
    </w:r>
    <w:r w:rsidR="009C309F" w:rsidRPr="00FA676C">
      <w:rPr>
        <w:rFonts w:ascii="Century Gothic" w:hAnsi="Century Gothic"/>
        <w:b/>
        <w:bCs/>
        <w:color w:val="E73E97"/>
      </w:rPr>
      <w:t xml:space="preserve"> 15/11/2</w:t>
    </w:r>
    <w:r w:rsidR="00AB13DC" w:rsidRPr="00FA676C">
      <w:rPr>
        <w:rFonts w:ascii="Century Gothic" w:hAnsi="Century Gothic"/>
        <w:b/>
        <w:bCs/>
        <w:color w:val="E73E97"/>
      </w:rPr>
      <w:t>6</w:t>
    </w:r>
    <w:r w:rsidR="00AB13DC" w:rsidRPr="00FA676C">
      <w:rPr>
        <w:rFonts w:ascii="Century Gothic" w:hAnsi="Century Gothic"/>
        <w:b/>
        <w:bCs/>
        <w:color w:val="E73E97"/>
      </w:rPr>
      <w:tab/>
    </w:r>
    <w:r w:rsidR="00AB13DC" w:rsidRPr="00FA676C">
      <w:rPr>
        <w:rFonts w:ascii="Century Gothic" w:hAnsi="Century Gothic"/>
        <w:b/>
        <w:bCs/>
        <w:color w:val="E73E97"/>
      </w:rPr>
      <w:tab/>
      <w:t xml:space="preserve">Page </w:t>
    </w:r>
    <w:sdt>
      <w:sdtPr>
        <w:rPr>
          <w:rFonts w:ascii="Century Gothic" w:hAnsi="Century Gothic"/>
          <w:b/>
          <w:bCs/>
          <w:color w:val="E73E97"/>
        </w:rPr>
        <w:id w:val="-38198813"/>
        <w:docPartObj>
          <w:docPartGallery w:val="Page Numbers (Bottom of Page)"/>
          <w:docPartUnique/>
        </w:docPartObj>
      </w:sdtPr>
      <w:sdtEndPr>
        <w:rPr>
          <w:noProof/>
        </w:rPr>
      </w:sdtEndPr>
      <w:sdtContent>
        <w:r w:rsidR="00AB13DC" w:rsidRPr="00FA676C">
          <w:rPr>
            <w:rFonts w:ascii="Century Gothic" w:hAnsi="Century Gothic"/>
            <w:b/>
            <w:bCs/>
            <w:color w:val="E73E97"/>
          </w:rPr>
          <w:fldChar w:fldCharType="begin"/>
        </w:r>
        <w:r w:rsidR="00AB13DC" w:rsidRPr="00FA676C">
          <w:rPr>
            <w:rFonts w:ascii="Century Gothic" w:hAnsi="Century Gothic"/>
            <w:b/>
            <w:bCs/>
            <w:color w:val="E73E97"/>
          </w:rPr>
          <w:instrText xml:space="preserve"> PAGE   \* MERGEFORMAT </w:instrText>
        </w:r>
        <w:r w:rsidR="00AB13DC" w:rsidRPr="00FA676C">
          <w:rPr>
            <w:rFonts w:ascii="Century Gothic" w:hAnsi="Century Gothic"/>
            <w:b/>
            <w:bCs/>
            <w:color w:val="E73E97"/>
          </w:rPr>
          <w:fldChar w:fldCharType="separate"/>
        </w:r>
        <w:r w:rsidR="00AB13DC" w:rsidRPr="00FA676C">
          <w:rPr>
            <w:rFonts w:ascii="Century Gothic" w:hAnsi="Century Gothic"/>
            <w:b/>
            <w:bCs/>
            <w:color w:val="E73E97"/>
          </w:rPr>
          <w:t>1</w:t>
        </w:r>
        <w:r w:rsidR="00AB13DC" w:rsidRPr="00FA676C">
          <w:rPr>
            <w:rFonts w:ascii="Century Gothic" w:hAnsi="Century Gothic"/>
            <w:b/>
            <w:bCs/>
            <w:noProof/>
            <w:color w:val="E73E97"/>
          </w:rPr>
          <w:fldChar w:fldCharType="end"/>
        </w:r>
      </w:sdtContent>
    </w:sdt>
  </w:p>
  <w:p w14:paraId="7E300F57" w14:textId="08B92808" w:rsidR="009C309F" w:rsidRDefault="009C3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55BBF" w14:textId="77777777" w:rsidR="00457859" w:rsidRDefault="00457859" w:rsidP="00303928">
      <w:pPr>
        <w:spacing w:after="0" w:line="240" w:lineRule="auto"/>
      </w:pPr>
      <w:r>
        <w:separator/>
      </w:r>
    </w:p>
  </w:footnote>
  <w:footnote w:type="continuationSeparator" w:id="0">
    <w:p w14:paraId="7704B1B9" w14:textId="77777777" w:rsidR="00457859" w:rsidRDefault="00457859" w:rsidP="00303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7A5B"/>
    <w:multiLevelType w:val="hybridMultilevel"/>
    <w:tmpl w:val="2332A0A2"/>
    <w:lvl w:ilvl="0" w:tplc="F4841E42">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F20DE"/>
    <w:multiLevelType w:val="hybridMultilevel"/>
    <w:tmpl w:val="23DAA9BA"/>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CF7DC5"/>
    <w:multiLevelType w:val="hybridMultilevel"/>
    <w:tmpl w:val="DD14D8BE"/>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5B528F"/>
    <w:multiLevelType w:val="multilevel"/>
    <w:tmpl w:val="010EB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21110193">
    <w:abstractNumId w:val="0"/>
  </w:num>
  <w:num w:numId="2" w16cid:durableId="1406607801">
    <w:abstractNumId w:val="2"/>
  </w:num>
  <w:num w:numId="3" w16cid:durableId="822158017">
    <w:abstractNumId w:val="1"/>
  </w:num>
  <w:num w:numId="4" w16cid:durableId="944919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28"/>
    <w:rsid w:val="00055D0A"/>
    <w:rsid w:val="000B2673"/>
    <w:rsid w:val="00151660"/>
    <w:rsid w:val="00184570"/>
    <w:rsid w:val="001C6D88"/>
    <w:rsid w:val="00303928"/>
    <w:rsid w:val="003B2811"/>
    <w:rsid w:val="00457859"/>
    <w:rsid w:val="00565F2B"/>
    <w:rsid w:val="006478C3"/>
    <w:rsid w:val="007345E4"/>
    <w:rsid w:val="00767B15"/>
    <w:rsid w:val="007A0407"/>
    <w:rsid w:val="00951D07"/>
    <w:rsid w:val="009C309F"/>
    <w:rsid w:val="00AB13DC"/>
    <w:rsid w:val="00C42561"/>
    <w:rsid w:val="00C82885"/>
    <w:rsid w:val="00CC22E5"/>
    <w:rsid w:val="00D809EF"/>
    <w:rsid w:val="00DA270A"/>
    <w:rsid w:val="00E91B0D"/>
    <w:rsid w:val="00F15BAF"/>
    <w:rsid w:val="00FA6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4F77"/>
  <w15:chartTrackingRefBased/>
  <w15:docId w15:val="{D605B014-F736-49F3-8F66-0FEB48CD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28"/>
    <w:rPr>
      <w:rFonts w:ascii="Trebuchet MS" w:hAnsi="Trebuchet MS"/>
      <w:color w:val="004F6B"/>
    </w:rPr>
  </w:style>
  <w:style w:type="paragraph" w:styleId="Heading1">
    <w:name w:val="heading 1"/>
    <w:basedOn w:val="Normal"/>
    <w:next w:val="Normal"/>
    <w:link w:val="Heading1Char"/>
    <w:uiPriority w:val="9"/>
    <w:qFormat/>
    <w:rsid w:val="00303928"/>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565F2B"/>
    <w:pPr>
      <w:keepNext/>
      <w:keepLines/>
      <w:numPr>
        <w:numId w:val="1"/>
      </w:numPr>
      <w:spacing w:before="240" w:after="240"/>
      <w:ind w:left="714" w:hanging="357"/>
      <w:outlineLvl w:val="1"/>
    </w:pPr>
    <w:rPr>
      <w:rFonts w:eastAsiaTheme="majorEastAsia" w:cstheme="majorBidi"/>
      <w:b/>
      <w:color w:val="E73E97"/>
      <w:sz w:val="24"/>
      <w:szCs w:val="26"/>
    </w:rPr>
  </w:style>
  <w:style w:type="paragraph" w:styleId="Heading3">
    <w:name w:val="heading 3"/>
    <w:basedOn w:val="Normal"/>
    <w:next w:val="Normal"/>
    <w:link w:val="Heading3Char"/>
    <w:uiPriority w:val="9"/>
    <w:unhideWhenUsed/>
    <w:qFormat/>
    <w:rsid w:val="00303928"/>
    <w:pPr>
      <w:keepNext/>
      <w:keepLines/>
      <w:spacing w:before="40" w:after="0"/>
      <w:outlineLvl w:val="2"/>
    </w:pPr>
    <w:rPr>
      <w:rFonts w:eastAsiaTheme="majorEastAsia" w:cstheme="majorBidi"/>
      <w:b/>
      <w:color w:val="84BD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5F2B"/>
    <w:rPr>
      <w:rFonts w:ascii="Trebuchet MS" w:eastAsiaTheme="majorEastAsia" w:hAnsi="Trebuchet MS" w:cstheme="majorBidi"/>
      <w:b/>
      <w:color w:val="E73E97"/>
      <w:sz w:val="24"/>
      <w:szCs w:val="26"/>
    </w:rPr>
  </w:style>
  <w:style w:type="paragraph" w:styleId="Header">
    <w:name w:val="header"/>
    <w:basedOn w:val="Normal"/>
    <w:link w:val="HeaderChar"/>
    <w:uiPriority w:val="99"/>
    <w:unhideWhenUsed/>
    <w:rsid w:val="00303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28"/>
  </w:style>
  <w:style w:type="paragraph" w:styleId="Footer">
    <w:name w:val="footer"/>
    <w:basedOn w:val="Normal"/>
    <w:link w:val="FooterChar"/>
    <w:uiPriority w:val="99"/>
    <w:unhideWhenUsed/>
    <w:rsid w:val="00303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28"/>
  </w:style>
  <w:style w:type="character" w:customStyle="1" w:styleId="Heading1Char">
    <w:name w:val="Heading 1 Char"/>
    <w:basedOn w:val="DefaultParagraphFont"/>
    <w:link w:val="Heading1"/>
    <w:uiPriority w:val="9"/>
    <w:rsid w:val="00303928"/>
    <w:rPr>
      <w:rFonts w:ascii="Trebuchet MS" w:eastAsiaTheme="majorEastAsia" w:hAnsi="Trebuchet MS" w:cstheme="majorBidi"/>
      <w:b/>
      <w:color w:val="004F6B"/>
      <w:sz w:val="28"/>
      <w:szCs w:val="32"/>
    </w:rPr>
  </w:style>
  <w:style w:type="character" w:customStyle="1" w:styleId="Heading3Char">
    <w:name w:val="Heading 3 Char"/>
    <w:basedOn w:val="DefaultParagraphFont"/>
    <w:link w:val="Heading3"/>
    <w:uiPriority w:val="9"/>
    <w:rsid w:val="00303928"/>
    <w:rPr>
      <w:rFonts w:ascii="Trebuchet MS" w:eastAsiaTheme="majorEastAsia" w:hAnsi="Trebuchet MS" w:cstheme="majorBidi"/>
      <w:b/>
      <w:color w:val="84BD00"/>
      <w:szCs w:val="24"/>
    </w:rPr>
  </w:style>
  <w:style w:type="paragraph" w:styleId="ListParagraph">
    <w:name w:val="List Paragraph"/>
    <w:basedOn w:val="Normal"/>
    <w:uiPriority w:val="34"/>
    <w:qFormat/>
    <w:rsid w:val="00303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70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2" ma:contentTypeDescription="A blank Microsoft Word document." ma:contentTypeScope="" ma:versionID="1b9863e29ae75074a4ddf3c1528be58f">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c6449a02881301f6fe0c6e93559214b5"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4B827-4A4D-4EF2-ACDC-95A52F53C69C}">
  <ds:schemaRefs>
    <ds:schemaRef ds:uri="http://schemas.microsoft.com/sharepoint/v3/contenttype/forms"/>
  </ds:schemaRefs>
</ds:datastoreItem>
</file>

<file path=customXml/itemProps2.xml><?xml version="1.0" encoding="utf-8"?>
<ds:datastoreItem xmlns:ds="http://schemas.openxmlformats.org/officeDocument/2006/customXml" ds:itemID="{91740D4E-BD15-487C-8AAF-BE8AD1759E2F}">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customXml/itemProps3.xml><?xml version="1.0" encoding="utf-8"?>
<ds:datastoreItem xmlns:ds="http://schemas.openxmlformats.org/officeDocument/2006/customXml" ds:itemID="{CC8BA0BD-25BE-4559-A954-808748259F26}"/>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Sutton CVS</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Thatcher</dc:creator>
  <cp:keywords/>
  <dc:description/>
  <cp:lastModifiedBy>Colin Wilson</cp:lastModifiedBy>
  <cp:revision>19</cp:revision>
  <dcterms:created xsi:type="dcterms:W3CDTF">2020-02-20T16:56:00Z</dcterms:created>
  <dcterms:modified xsi:type="dcterms:W3CDTF">2024-01-24T13:07:00Z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