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E4A63" w14:textId="77777777" w:rsidR="008818A5" w:rsidRDefault="00DD26D0" w:rsidP="00D50538">
      <w:pPr>
        <w:pStyle w:val="Title"/>
      </w:pPr>
      <w:r>
        <w:rPr>
          <w:noProof/>
        </w:rPr>
        <w:drawing>
          <wp:inline distT="0" distB="0" distL="0" distR="0" wp14:anchorId="60354B5A" wp14:editId="2333077F">
            <wp:extent cx="2880000" cy="7200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720000"/>
                    </a:xfrm>
                    <a:prstGeom prst="rect">
                      <a:avLst/>
                    </a:prstGeom>
                  </pic:spPr>
                </pic:pic>
              </a:graphicData>
            </a:graphic>
          </wp:inline>
        </w:drawing>
      </w:r>
      <w:r w:rsidR="00864DDD">
        <w:t xml:space="preserve">  </w:t>
      </w:r>
    </w:p>
    <w:p w14:paraId="2AA06DCF" w14:textId="77B35705" w:rsidR="00DA6106" w:rsidRPr="00D50538" w:rsidRDefault="00DA6106" w:rsidP="00D50538">
      <w:pPr>
        <w:pStyle w:val="Title"/>
      </w:pPr>
      <w:r w:rsidRPr="00D50538">
        <w:t xml:space="preserve">Safeguarding </w:t>
      </w:r>
      <w:r w:rsidR="00717EC2" w:rsidRPr="00D50538">
        <w:t xml:space="preserve">Adults </w:t>
      </w:r>
      <w:r w:rsidRPr="00D50538">
        <w:t>Policy</w:t>
      </w:r>
    </w:p>
    <w:p w14:paraId="29E5B630" w14:textId="6C8B0B27" w:rsidR="009B6843" w:rsidRDefault="009B6843" w:rsidP="00976982"/>
    <w:p w14:paraId="4A99CE79" w14:textId="740DF591" w:rsidR="00F3302F" w:rsidRDefault="00F3302F" w:rsidP="00E90157">
      <w:pPr>
        <w:tabs>
          <w:tab w:val="right" w:leader="dot" w:pos="9072"/>
        </w:tabs>
      </w:pPr>
      <w:r>
        <w:t>Background</w:t>
      </w:r>
      <w:r w:rsidR="006034C2">
        <w:tab/>
      </w:r>
      <w:r w:rsidR="00E90157">
        <w:t>page 2</w:t>
      </w:r>
    </w:p>
    <w:p w14:paraId="0F6ED1BD" w14:textId="5563B266" w:rsidR="00F3302F" w:rsidRDefault="00F3302F" w:rsidP="00E90157">
      <w:pPr>
        <w:tabs>
          <w:tab w:val="right" w:leader="dot" w:pos="9072"/>
        </w:tabs>
      </w:pPr>
      <w:r>
        <w:t>Responsibilities</w:t>
      </w:r>
      <w:r w:rsidR="00E90157">
        <w:tab/>
        <w:t>page 3</w:t>
      </w:r>
    </w:p>
    <w:p w14:paraId="4F475665" w14:textId="2FA84145" w:rsidR="00F3302F" w:rsidRDefault="00E379F8" w:rsidP="00E90157">
      <w:pPr>
        <w:tabs>
          <w:tab w:val="right" w:leader="dot" w:pos="9072"/>
        </w:tabs>
      </w:pPr>
      <w:r>
        <w:t>Understanding harm and abuse</w:t>
      </w:r>
      <w:r w:rsidR="00E90157">
        <w:tab/>
        <w:t>page 5</w:t>
      </w:r>
    </w:p>
    <w:p w14:paraId="02CE6499" w14:textId="686F5AC9" w:rsidR="00E379F8" w:rsidRDefault="00E379F8" w:rsidP="00E90157">
      <w:pPr>
        <w:tabs>
          <w:tab w:val="right" w:leader="dot" w:pos="9072"/>
        </w:tabs>
      </w:pPr>
      <w:r>
        <w:t>Responding to a concern</w:t>
      </w:r>
      <w:r w:rsidR="00E90157">
        <w:tab/>
        <w:t>page 8</w:t>
      </w:r>
    </w:p>
    <w:p w14:paraId="76821A12" w14:textId="40BDAA64" w:rsidR="00E379F8" w:rsidRDefault="00E379F8" w:rsidP="00E90157">
      <w:pPr>
        <w:tabs>
          <w:tab w:val="right" w:leader="dot" w:pos="9072"/>
        </w:tabs>
      </w:pPr>
      <w:r>
        <w:t>Allegations against a member of staff, trustee or volunteer</w:t>
      </w:r>
      <w:r w:rsidR="00E90157">
        <w:tab/>
        <w:t>page 10</w:t>
      </w:r>
    </w:p>
    <w:p w14:paraId="6451E0C9" w14:textId="126494E2" w:rsidR="00E379F8" w:rsidRDefault="00E379F8" w:rsidP="00E90157">
      <w:pPr>
        <w:tabs>
          <w:tab w:val="right" w:leader="dot" w:pos="9072"/>
        </w:tabs>
      </w:pPr>
      <w:r>
        <w:t>Information sharing, confidentiality and documentat</w:t>
      </w:r>
      <w:r w:rsidR="00471FD2">
        <w:t>i</w:t>
      </w:r>
      <w:r>
        <w:t>on</w:t>
      </w:r>
      <w:r w:rsidR="00E90157">
        <w:tab/>
        <w:t>page 11</w:t>
      </w:r>
    </w:p>
    <w:p w14:paraId="43A72343" w14:textId="3D71CB95" w:rsidR="00E379F8" w:rsidRDefault="00471FD2" w:rsidP="00E90157">
      <w:pPr>
        <w:tabs>
          <w:tab w:val="right" w:leader="dot" w:pos="9072"/>
        </w:tabs>
      </w:pPr>
      <w:r>
        <w:t>Safe recruitment, induction, training and supervision</w:t>
      </w:r>
      <w:r w:rsidR="00E90157">
        <w:tab/>
        <w:t>page 12</w:t>
      </w:r>
    </w:p>
    <w:p w14:paraId="2A7DF62E" w14:textId="4FAC2A26" w:rsidR="00471FD2" w:rsidRDefault="00471FD2" w:rsidP="00E90157">
      <w:pPr>
        <w:tabs>
          <w:tab w:val="right" w:leader="dot" w:pos="9072"/>
        </w:tabs>
      </w:pPr>
      <w:r>
        <w:t>Appendices</w:t>
      </w:r>
      <w:r w:rsidR="00E90157">
        <w:tab/>
        <w:t>page 14</w:t>
      </w:r>
    </w:p>
    <w:p w14:paraId="2D37CE75" w14:textId="7B8662EC" w:rsidR="009B6843" w:rsidRDefault="009B6843" w:rsidP="00976982"/>
    <w:p w14:paraId="79371D70" w14:textId="77777777" w:rsidR="00471FD2" w:rsidRDefault="00471FD2">
      <w:pPr>
        <w:rPr>
          <w:rFonts w:eastAsiaTheme="majorEastAsia" w:cstheme="majorBidi"/>
          <w:b/>
          <w:bCs/>
          <w:color w:val="2F5496" w:themeColor="accent1" w:themeShade="BF"/>
          <w:sz w:val="24"/>
          <w:szCs w:val="24"/>
        </w:rPr>
      </w:pPr>
      <w:bookmarkStart w:id="0" w:name="_Toc119494574"/>
      <w:r>
        <w:br w:type="page"/>
      </w:r>
    </w:p>
    <w:p w14:paraId="0094FC0B" w14:textId="6D8DEFD8" w:rsidR="00DA6106" w:rsidRPr="00CF49DD" w:rsidRDefault="00DA6106" w:rsidP="00A33CBB">
      <w:pPr>
        <w:pStyle w:val="Heading1"/>
      </w:pPr>
      <w:r w:rsidRPr="00CF49DD">
        <w:lastRenderedPageBreak/>
        <w:t>Background</w:t>
      </w:r>
      <w:bookmarkEnd w:id="0"/>
    </w:p>
    <w:p w14:paraId="70376B53" w14:textId="7BDC7751" w:rsidR="003E526F" w:rsidRPr="00976982" w:rsidRDefault="003E526F" w:rsidP="00976982">
      <w:r w:rsidRPr="00976982">
        <w:t>Living a life that is free from harm and abuse is a fundamental human right and essential for health and well-being.</w:t>
      </w:r>
    </w:p>
    <w:p w14:paraId="53DA5303" w14:textId="653AABFB" w:rsidR="003E526F" w:rsidRPr="00976982" w:rsidRDefault="003E526F" w:rsidP="00976982">
      <w:r w:rsidRPr="00976982">
        <w:t xml:space="preserve">Safeguarding adults </w:t>
      </w:r>
      <w:r w:rsidR="00296723" w:rsidRPr="00976982">
        <w:t>legislation and associated policies focus</w:t>
      </w:r>
      <w:r w:rsidRPr="00976982">
        <w:t xml:space="preserve"> on </w:t>
      </w:r>
      <w:r w:rsidR="000F6C1F" w:rsidRPr="00976982">
        <w:t xml:space="preserve">the </w:t>
      </w:r>
      <w:r w:rsidRPr="00976982">
        <w:t>training, practices and procedures</w:t>
      </w:r>
      <w:r w:rsidR="000F6C1F" w:rsidRPr="00976982">
        <w:t xml:space="preserve"> that are put in place </w:t>
      </w:r>
      <w:r w:rsidR="008828D2" w:rsidRPr="00976982">
        <w:t>to</w:t>
      </w:r>
      <w:r w:rsidR="000F6C1F" w:rsidRPr="00976982">
        <w:t xml:space="preserve"> </w:t>
      </w:r>
      <w:r w:rsidR="008828D2" w:rsidRPr="00976982">
        <w:t>protect</w:t>
      </w:r>
      <w:r w:rsidR="00595FEA" w:rsidRPr="00976982">
        <w:t xml:space="preserve"> those adults who are l</w:t>
      </w:r>
      <w:r w:rsidRPr="00976982">
        <w:t>east able to protect themselves</w:t>
      </w:r>
      <w:r w:rsidR="00595FEA" w:rsidRPr="00976982">
        <w:t>, referred to in this context as ‘adults at risk’.</w:t>
      </w:r>
    </w:p>
    <w:p w14:paraId="4983ECD0" w14:textId="208814A6" w:rsidR="00BB2E9E" w:rsidRPr="00976982" w:rsidRDefault="00BB2E9E" w:rsidP="00976982">
      <w:r w:rsidRPr="00976982">
        <w:t xml:space="preserve">Healthwatch Sutton is committed to </w:t>
      </w:r>
      <w:r w:rsidR="000F6C1F" w:rsidRPr="00976982">
        <w:t>the principles and practices of adult safeguarding</w:t>
      </w:r>
      <w:r w:rsidR="00555627" w:rsidRPr="00976982">
        <w:t xml:space="preserve"> and fulfilling its responsibilities as a local Healthwatch</w:t>
      </w:r>
      <w:r w:rsidR="00296723" w:rsidRPr="00976982">
        <w:t xml:space="preserve"> organisation</w:t>
      </w:r>
      <w:r w:rsidR="00555627" w:rsidRPr="00976982">
        <w:t xml:space="preserve"> in responding to safeguarding concerns.</w:t>
      </w:r>
    </w:p>
    <w:p w14:paraId="31DDA2B3" w14:textId="23C148B6" w:rsidR="00DA6106" w:rsidRPr="00CF49DD" w:rsidRDefault="00DA6106" w:rsidP="00CF49DD">
      <w:pPr>
        <w:pStyle w:val="Heading2"/>
      </w:pPr>
      <w:bookmarkStart w:id="1" w:name="_Toc119494575"/>
      <w:r w:rsidRPr="00CF49DD">
        <w:t>Purpose</w:t>
      </w:r>
      <w:bookmarkEnd w:id="1"/>
    </w:p>
    <w:p w14:paraId="490F3E11" w14:textId="14612346" w:rsidR="00BB2E9E" w:rsidRPr="00976982" w:rsidRDefault="00BB2E9E" w:rsidP="00976982">
      <w:r w:rsidRPr="00976982">
        <w:t>T</w:t>
      </w:r>
      <w:r w:rsidR="00555627" w:rsidRPr="00976982">
        <w:t>his policy sets out a framework and set of procedures to ensure that Health</w:t>
      </w:r>
      <w:r w:rsidR="004B063C" w:rsidRPr="00976982">
        <w:t>w</w:t>
      </w:r>
      <w:r w:rsidR="00555627" w:rsidRPr="00976982">
        <w:t>atch Sutton discharges it duties and commitments in respect of safeguarding fully and effectively and in accordance with statutory guidance</w:t>
      </w:r>
      <w:r w:rsidR="00DD4E00" w:rsidRPr="00976982">
        <w:t>.</w:t>
      </w:r>
    </w:p>
    <w:p w14:paraId="7377B126" w14:textId="10520690" w:rsidR="00DA6106" w:rsidRPr="00976982" w:rsidRDefault="00DA6106" w:rsidP="00A33CBB">
      <w:pPr>
        <w:pStyle w:val="Heading1"/>
      </w:pPr>
      <w:bookmarkStart w:id="2" w:name="_Toc119494576"/>
      <w:r w:rsidRPr="00976982">
        <w:lastRenderedPageBreak/>
        <w:t>Responsibilities</w:t>
      </w:r>
      <w:bookmarkEnd w:id="2"/>
    </w:p>
    <w:p w14:paraId="35D2780A" w14:textId="0B3B4C40" w:rsidR="00DA6106" w:rsidRPr="00422114" w:rsidRDefault="00DA6106" w:rsidP="00CF49DD">
      <w:pPr>
        <w:pStyle w:val="Heading2"/>
      </w:pPr>
      <w:bookmarkStart w:id="3" w:name="_Toc119494577"/>
      <w:r w:rsidRPr="00422114">
        <w:t xml:space="preserve">Board of </w:t>
      </w:r>
      <w:r w:rsidRPr="005315EF">
        <w:t>trustees</w:t>
      </w:r>
      <w:bookmarkEnd w:id="3"/>
    </w:p>
    <w:p w14:paraId="4948A96D" w14:textId="4A39CAE0" w:rsidR="00BB2E9E" w:rsidRPr="00976982" w:rsidRDefault="009B6843" w:rsidP="00976982">
      <w:pPr>
        <w:pStyle w:val="ListParagraph"/>
        <w:numPr>
          <w:ilvl w:val="0"/>
          <w:numId w:val="1"/>
        </w:numPr>
      </w:pPr>
      <w:r w:rsidRPr="00976982">
        <w:t xml:space="preserve">For ensuring that </w:t>
      </w:r>
      <w:r w:rsidR="00BB2E9E" w:rsidRPr="00976982">
        <w:t>Healthwatch Sutton has a safeguarding policy that complies with statutory requirements and guidance from the Sutton Safeguarding Adults Board</w:t>
      </w:r>
    </w:p>
    <w:p w14:paraId="26F5784F" w14:textId="10789739" w:rsidR="00BB2E9E" w:rsidRPr="00976982" w:rsidRDefault="00BB2E9E" w:rsidP="00976982">
      <w:pPr>
        <w:pStyle w:val="ListParagraph"/>
        <w:numPr>
          <w:ilvl w:val="0"/>
          <w:numId w:val="1"/>
        </w:numPr>
      </w:pPr>
      <w:r w:rsidRPr="00976982">
        <w:t>The safeguarding policy is available on request and accessible on the Healthwatch Sutton website.</w:t>
      </w:r>
    </w:p>
    <w:p w14:paraId="7D4E2970" w14:textId="3162953E" w:rsidR="00752B42" w:rsidRPr="00976982" w:rsidRDefault="00752B42" w:rsidP="00976982">
      <w:pPr>
        <w:pStyle w:val="ListParagraph"/>
        <w:numPr>
          <w:ilvl w:val="0"/>
          <w:numId w:val="1"/>
        </w:numPr>
      </w:pPr>
      <w:r w:rsidRPr="00976982">
        <w:t>The safeguarding policy is reviewed every two years.</w:t>
      </w:r>
    </w:p>
    <w:p w14:paraId="2E04399A" w14:textId="48BB2EDE" w:rsidR="00752B42" w:rsidRPr="00976982" w:rsidRDefault="009B6843" w:rsidP="00976982">
      <w:pPr>
        <w:pStyle w:val="ListParagraph"/>
        <w:numPr>
          <w:ilvl w:val="0"/>
          <w:numId w:val="1"/>
        </w:numPr>
      </w:pPr>
      <w:r w:rsidRPr="00976982">
        <w:t xml:space="preserve">That </w:t>
      </w:r>
      <w:r w:rsidR="00752B42" w:rsidRPr="00976982">
        <w:t xml:space="preserve">Healthwatch Sutton complies with </w:t>
      </w:r>
      <w:hyperlink r:id="rId12" w:history="1">
        <w:r w:rsidR="00752B42" w:rsidRPr="00A374A0">
          <w:rPr>
            <w:rStyle w:val="Hyperlink"/>
          </w:rPr>
          <w:t>statutory requirements</w:t>
        </w:r>
      </w:hyperlink>
      <w:r w:rsidR="00752B42" w:rsidRPr="00976982">
        <w:t xml:space="preserve"> relating to safe recruitment.</w:t>
      </w:r>
    </w:p>
    <w:p w14:paraId="6B4E164B" w14:textId="09A8245C" w:rsidR="00752B42" w:rsidRPr="00976982" w:rsidRDefault="00752B42" w:rsidP="00976982">
      <w:pPr>
        <w:pStyle w:val="ListParagraph"/>
        <w:numPr>
          <w:ilvl w:val="0"/>
          <w:numId w:val="1"/>
        </w:numPr>
      </w:pPr>
      <w:r w:rsidRPr="00976982">
        <w:t>The Chair liaises with the local authority in the event of allegations against the CEO.</w:t>
      </w:r>
    </w:p>
    <w:p w14:paraId="6890C76D" w14:textId="214900C6" w:rsidR="00752B42" w:rsidRPr="00976982" w:rsidRDefault="00AD3A04" w:rsidP="00976982">
      <w:pPr>
        <w:pStyle w:val="ListParagraph"/>
        <w:numPr>
          <w:ilvl w:val="0"/>
          <w:numId w:val="1"/>
        </w:numPr>
      </w:pPr>
      <w:r w:rsidRPr="00976982">
        <w:t>Require regular safeguarding updates and ensure that a</w:t>
      </w:r>
      <w:r w:rsidR="00752B42" w:rsidRPr="00976982">
        <w:t>ny weaknesses in the Healthwatch Sutton safeguarding arrangements are addressed promptly.</w:t>
      </w:r>
    </w:p>
    <w:p w14:paraId="42817E2C" w14:textId="73D9C147" w:rsidR="00752B42" w:rsidRPr="00976982" w:rsidRDefault="00752B42" w:rsidP="00976982">
      <w:pPr>
        <w:pStyle w:val="ListParagraph"/>
        <w:numPr>
          <w:ilvl w:val="0"/>
          <w:numId w:val="1"/>
        </w:numPr>
      </w:pPr>
      <w:r w:rsidRPr="00976982">
        <w:t xml:space="preserve">One </w:t>
      </w:r>
      <w:r w:rsidR="009B6843" w:rsidRPr="00976982">
        <w:t xml:space="preserve">or more </w:t>
      </w:r>
      <w:r w:rsidRPr="00976982">
        <w:t>member</w:t>
      </w:r>
      <w:r w:rsidR="009B6843" w:rsidRPr="00976982">
        <w:t>s</w:t>
      </w:r>
      <w:r w:rsidRPr="00976982">
        <w:t xml:space="preserve"> of the Board </w:t>
      </w:r>
      <w:r w:rsidR="009B6843" w:rsidRPr="00976982">
        <w:t>are</w:t>
      </w:r>
      <w:r w:rsidRPr="00976982">
        <w:t xml:space="preserve"> nominated to take a lead on safeguarding matters.</w:t>
      </w:r>
    </w:p>
    <w:p w14:paraId="39DEDA84" w14:textId="1219DEF4" w:rsidR="00DA6106" w:rsidRPr="00976982" w:rsidRDefault="00DA6106" w:rsidP="00CF49DD">
      <w:pPr>
        <w:pStyle w:val="Heading2"/>
      </w:pPr>
      <w:bookmarkStart w:id="4" w:name="_Toc119494578"/>
      <w:r w:rsidRPr="00976982">
        <w:t>CEO</w:t>
      </w:r>
      <w:bookmarkEnd w:id="4"/>
    </w:p>
    <w:p w14:paraId="3428D752" w14:textId="50F702E2" w:rsidR="009B6843" w:rsidRPr="00976982" w:rsidRDefault="009B6843" w:rsidP="00976982">
      <w:pPr>
        <w:pStyle w:val="ListParagraph"/>
        <w:numPr>
          <w:ilvl w:val="0"/>
          <w:numId w:val="5"/>
        </w:numPr>
      </w:pPr>
      <w:r w:rsidRPr="00976982">
        <w:t xml:space="preserve">Overseeing and ensuring the effective implementation of the </w:t>
      </w:r>
      <w:r w:rsidR="00AD3A04" w:rsidRPr="00976982">
        <w:t xml:space="preserve">Healthwatch Sutton Safeguarding </w:t>
      </w:r>
      <w:r w:rsidRPr="00976982">
        <w:t>policy and procedures</w:t>
      </w:r>
      <w:r w:rsidR="000D2910" w:rsidRPr="00976982">
        <w:t xml:space="preserve">, including in relation to recruitment </w:t>
      </w:r>
    </w:p>
    <w:p w14:paraId="10283FCB" w14:textId="20F67437" w:rsidR="006D6AF8" w:rsidRPr="00976982" w:rsidRDefault="006D6AF8" w:rsidP="00976982">
      <w:pPr>
        <w:pStyle w:val="ListParagraph"/>
        <w:numPr>
          <w:ilvl w:val="0"/>
          <w:numId w:val="5"/>
        </w:numPr>
      </w:pPr>
      <w:r w:rsidRPr="00976982">
        <w:t xml:space="preserve">Ensuring that the Safeguarding Lead has the right support and training for their </w:t>
      </w:r>
      <w:r w:rsidR="007B5B7B" w:rsidRPr="00976982">
        <w:t>role.</w:t>
      </w:r>
    </w:p>
    <w:p w14:paraId="6EB09FB8" w14:textId="2E1C99F8" w:rsidR="009B6843" w:rsidRPr="00976982" w:rsidRDefault="009B6843" w:rsidP="00976982">
      <w:pPr>
        <w:pStyle w:val="ListParagraph"/>
        <w:numPr>
          <w:ilvl w:val="0"/>
          <w:numId w:val="5"/>
        </w:numPr>
      </w:pPr>
      <w:r w:rsidRPr="00976982">
        <w:t xml:space="preserve">Ensuring that appropriate safeguarding training is in place for all staff and volunteers and is delivered in a timely fashion in line with </w:t>
      </w:r>
      <w:r w:rsidR="007B5B7B" w:rsidRPr="00976982">
        <w:t>guidance.</w:t>
      </w:r>
    </w:p>
    <w:p w14:paraId="0AB5CC91" w14:textId="21371C68" w:rsidR="009B6843" w:rsidRPr="00976982" w:rsidRDefault="009B6843" w:rsidP="00976982">
      <w:pPr>
        <w:pStyle w:val="ListParagraph"/>
        <w:numPr>
          <w:ilvl w:val="0"/>
          <w:numId w:val="5"/>
        </w:numPr>
      </w:pPr>
      <w:r w:rsidRPr="00976982">
        <w:t xml:space="preserve">Taking the lead role in </w:t>
      </w:r>
      <w:r w:rsidR="00AD3A04" w:rsidRPr="00976982">
        <w:t>the event of an</w:t>
      </w:r>
      <w:r w:rsidRPr="00976982">
        <w:t xml:space="preserve"> allegation of abuse against a member of staff or volunteer.</w:t>
      </w:r>
      <w:r w:rsidR="00272B09" w:rsidRPr="00976982">
        <w:t xml:space="preserve"> </w:t>
      </w:r>
    </w:p>
    <w:p w14:paraId="6EE44AA4" w14:textId="3E6C8E49" w:rsidR="00272B09" w:rsidRDefault="00272B09" w:rsidP="00976982">
      <w:pPr>
        <w:pStyle w:val="ListParagraph"/>
        <w:numPr>
          <w:ilvl w:val="0"/>
          <w:numId w:val="5"/>
        </w:numPr>
      </w:pPr>
      <w:r w:rsidRPr="00976982">
        <w:t xml:space="preserve">Reporting any serious safeguarding incident to the Charity Commission following the guidance here </w:t>
      </w:r>
      <w:hyperlink r:id="rId13" w:history="1">
        <w:r w:rsidRPr="00976982">
          <w:rPr>
            <w:rStyle w:val="Hyperlink"/>
          </w:rPr>
          <w:t>https://www.gov.uk/guidance/how-to-report-a-serious-incident-in-your-charity</w:t>
        </w:r>
      </w:hyperlink>
      <w:r w:rsidRPr="00976982">
        <w:t xml:space="preserve"> and to </w:t>
      </w:r>
      <w:hyperlink r:id="rId14" w:history="1">
        <w:r w:rsidRPr="008D3187">
          <w:rPr>
            <w:rStyle w:val="Hyperlink"/>
          </w:rPr>
          <w:t xml:space="preserve">Sutton Safeguarding </w:t>
        </w:r>
        <w:r w:rsidR="008D3187" w:rsidRPr="008D3187">
          <w:rPr>
            <w:rStyle w:val="Hyperlink"/>
          </w:rPr>
          <w:t xml:space="preserve">Adults </w:t>
        </w:r>
        <w:r w:rsidRPr="008D3187">
          <w:rPr>
            <w:rStyle w:val="Hyperlink"/>
          </w:rPr>
          <w:t>Board</w:t>
        </w:r>
      </w:hyperlink>
    </w:p>
    <w:p w14:paraId="3BE88238" w14:textId="08F31B1A" w:rsidR="00DD055A" w:rsidRPr="004A27D0" w:rsidRDefault="00DD055A" w:rsidP="00E90157">
      <w:r w:rsidRPr="004A27D0">
        <w:t>As Healthwatch Sutton is a small organisation, the CEO may also be the Safeguarding Lead, in which case the Chair should ensure that CEO has the support needed to take on this additional role</w:t>
      </w:r>
    </w:p>
    <w:p w14:paraId="52E24D61" w14:textId="2F219223" w:rsidR="00DA6106" w:rsidRPr="00976982" w:rsidRDefault="00DA6106" w:rsidP="00CF49DD">
      <w:pPr>
        <w:pStyle w:val="Heading2"/>
      </w:pPr>
      <w:bookmarkStart w:id="5" w:name="_Toc119494579"/>
      <w:r w:rsidRPr="00976982">
        <w:t>Safeguarding Lead</w:t>
      </w:r>
      <w:bookmarkEnd w:id="5"/>
      <w:r w:rsidR="00904241" w:rsidRPr="00976982">
        <w:t xml:space="preserve"> </w:t>
      </w:r>
    </w:p>
    <w:p w14:paraId="7D40DFE2" w14:textId="49B8CDEC" w:rsidR="00555627" w:rsidRPr="00976982" w:rsidRDefault="00555627" w:rsidP="00976982">
      <w:pPr>
        <w:pStyle w:val="ListParagraph"/>
        <w:numPr>
          <w:ilvl w:val="0"/>
          <w:numId w:val="6"/>
        </w:numPr>
      </w:pPr>
      <w:r w:rsidRPr="00976982">
        <w:t>Raising awareness of safeguarding across the organisation</w:t>
      </w:r>
      <w:r w:rsidR="00DD4E00" w:rsidRPr="00976982">
        <w:t xml:space="preserve">, and how this relates to </w:t>
      </w:r>
      <w:r w:rsidR="006D6AF8" w:rsidRPr="00976982">
        <w:t>Human Rights, Equality Act duties and duties un</w:t>
      </w:r>
      <w:r w:rsidR="001B258E" w:rsidRPr="00976982">
        <w:t>der</w:t>
      </w:r>
      <w:r w:rsidR="006D6AF8" w:rsidRPr="00976982">
        <w:t xml:space="preserve"> the Mental Capacity Act 2005.</w:t>
      </w:r>
    </w:p>
    <w:p w14:paraId="733E2F60" w14:textId="46927FE2" w:rsidR="006F4247" w:rsidRPr="00976982" w:rsidRDefault="006F4247" w:rsidP="00976982">
      <w:pPr>
        <w:pStyle w:val="ListParagraph"/>
        <w:numPr>
          <w:ilvl w:val="0"/>
          <w:numId w:val="6"/>
        </w:numPr>
      </w:pPr>
      <w:r w:rsidRPr="00976982">
        <w:t>In liaison with the CEO, ensuring by means of training, supervision and information sharing that staff and volunteers have sufficient understanding of this policy and associated procedures and feel confident and supported to implement them</w:t>
      </w:r>
    </w:p>
    <w:p w14:paraId="495CD162" w14:textId="3CCFA736" w:rsidR="006F4247" w:rsidRPr="00976982" w:rsidRDefault="00306B7A" w:rsidP="00976982">
      <w:pPr>
        <w:pStyle w:val="ListParagraph"/>
        <w:numPr>
          <w:ilvl w:val="0"/>
          <w:numId w:val="6"/>
        </w:numPr>
      </w:pPr>
      <w:r w:rsidRPr="00976982">
        <w:t xml:space="preserve">Taking a lead role in liaison with the </w:t>
      </w:r>
      <w:hyperlink r:id="rId15" w:history="1">
        <w:r w:rsidRPr="005F3588">
          <w:rPr>
            <w:rStyle w:val="Hyperlink"/>
          </w:rPr>
          <w:t>Sutton Safeguarding Adults Board</w:t>
        </w:r>
      </w:hyperlink>
      <w:r w:rsidRPr="00976982">
        <w:t xml:space="preserve"> (SSAB) and other relevant agencies</w:t>
      </w:r>
    </w:p>
    <w:p w14:paraId="02F73007" w14:textId="68E6A469" w:rsidR="00332886" w:rsidRPr="00976982" w:rsidRDefault="003F1DBC" w:rsidP="00976982">
      <w:pPr>
        <w:pStyle w:val="ListParagraph"/>
        <w:numPr>
          <w:ilvl w:val="0"/>
          <w:numId w:val="6"/>
        </w:numPr>
      </w:pPr>
      <w:r w:rsidRPr="00976982">
        <w:t>Responding to</w:t>
      </w:r>
      <w:r w:rsidR="00332886" w:rsidRPr="00976982">
        <w:t xml:space="preserve"> concerns raised by staff, trustees or volunteers </w:t>
      </w:r>
      <w:r w:rsidRPr="00976982">
        <w:t>by</w:t>
      </w:r>
    </w:p>
    <w:p w14:paraId="4533365E" w14:textId="62FF3714" w:rsidR="003F1DBC" w:rsidRPr="00976982" w:rsidRDefault="00332886" w:rsidP="00976982">
      <w:pPr>
        <w:pStyle w:val="ListParagraph"/>
        <w:numPr>
          <w:ilvl w:val="1"/>
          <w:numId w:val="6"/>
        </w:numPr>
      </w:pPr>
      <w:r w:rsidRPr="00976982">
        <w:t>Documenting the details of the concern securely</w:t>
      </w:r>
    </w:p>
    <w:p w14:paraId="6066A1A4" w14:textId="7160DA91" w:rsidR="003F1DBC" w:rsidRPr="00976982" w:rsidRDefault="003F1DBC" w:rsidP="00976982">
      <w:pPr>
        <w:pStyle w:val="ListParagraph"/>
        <w:numPr>
          <w:ilvl w:val="1"/>
          <w:numId w:val="6"/>
        </w:numPr>
      </w:pPr>
      <w:r w:rsidRPr="00976982">
        <w:t xml:space="preserve">Making decisions about whether </w:t>
      </w:r>
      <w:r w:rsidR="006F4247" w:rsidRPr="00976982">
        <w:t xml:space="preserve">onward </w:t>
      </w:r>
      <w:r w:rsidRPr="00976982">
        <w:t>referrals are needed, in consultation with the CEO and Trustee Safeguarding Lead when appropriate</w:t>
      </w:r>
    </w:p>
    <w:p w14:paraId="1F260511" w14:textId="677163FD" w:rsidR="003F1DBC" w:rsidRPr="00976982" w:rsidRDefault="003F1DBC" w:rsidP="00976982">
      <w:pPr>
        <w:pStyle w:val="ListParagraph"/>
        <w:numPr>
          <w:ilvl w:val="1"/>
          <w:numId w:val="6"/>
        </w:numPr>
      </w:pPr>
      <w:r w:rsidRPr="00976982">
        <w:t xml:space="preserve">Making </w:t>
      </w:r>
      <w:r w:rsidR="00306B7A" w:rsidRPr="00976982">
        <w:t xml:space="preserve">onward </w:t>
      </w:r>
      <w:r w:rsidRPr="00976982">
        <w:t>referrals when needed</w:t>
      </w:r>
    </w:p>
    <w:p w14:paraId="0F0168E7" w14:textId="5C540A8F" w:rsidR="00332886" w:rsidRPr="00976982" w:rsidRDefault="00332886" w:rsidP="00976982">
      <w:pPr>
        <w:pStyle w:val="ListParagraph"/>
        <w:numPr>
          <w:ilvl w:val="1"/>
          <w:numId w:val="6"/>
        </w:numPr>
      </w:pPr>
      <w:r w:rsidRPr="00976982">
        <w:t>Providing support to the staff member or volunteer raising the concern as needed</w:t>
      </w:r>
    </w:p>
    <w:p w14:paraId="0D1E677A" w14:textId="5622ED83" w:rsidR="00417DB4" w:rsidRPr="00976982" w:rsidRDefault="00555627" w:rsidP="00976982">
      <w:pPr>
        <w:pStyle w:val="ListParagraph"/>
        <w:numPr>
          <w:ilvl w:val="0"/>
          <w:numId w:val="6"/>
        </w:numPr>
      </w:pPr>
      <w:r w:rsidRPr="00976982">
        <w:lastRenderedPageBreak/>
        <w:t xml:space="preserve">Providing regular updates to the Board about safeguarding matters, including </w:t>
      </w:r>
      <w:r w:rsidR="00BC47C5" w:rsidRPr="00976982">
        <w:t xml:space="preserve">a training update, </w:t>
      </w:r>
      <w:r w:rsidR="00417DB4" w:rsidRPr="00976982">
        <w:t>the number</w:t>
      </w:r>
      <w:r w:rsidR="00306B7A" w:rsidRPr="00976982">
        <w:t>s</w:t>
      </w:r>
      <w:r w:rsidR="00866CA6" w:rsidRPr="00976982">
        <w:t xml:space="preserve"> </w:t>
      </w:r>
      <w:r w:rsidR="00417DB4" w:rsidRPr="00976982">
        <w:t>of concerns raised and referrals made, and the broad nature of the concerns (with due regard to confidentiality).</w:t>
      </w:r>
    </w:p>
    <w:p w14:paraId="14FE8C90" w14:textId="2CEF9288" w:rsidR="00904241" w:rsidRPr="00976982" w:rsidRDefault="00904241" w:rsidP="00976982">
      <w:pPr>
        <w:pStyle w:val="ListParagraph"/>
        <w:numPr>
          <w:ilvl w:val="0"/>
          <w:numId w:val="6"/>
        </w:numPr>
      </w:pPr>
      <w:r w:rsidRPr="00976982">
        <w:t>If the Safeguarding Lead is also the CEO, some of the above tasks may be delegated to the Deputy Safeguarding Lead</w:t>
      </w:r>
    </w:p>
    <w:p w14:paraId="4A1FF2DB" w14:textId="75F0D876" w:rsidR="004A505F" w:rsidRPr="00976982" w:rsidRDefault="004A505F" w:rsidP="00CF49DD">
      <w:pPr>
        <w:pStyle w:val="Heading2"/>
      </w:pPr>
      <w:bookmarkStart w:id="6" w:name="_Toc119494580"/>
      <w:r w:rsidRPr="00976982">
        <w:t>Trustee Lead for Safeguarding</w:t>
      </w:r>
      <w:bookmarkEnd w:id="6"/>
    </w:p>
    <w:p w14:paraId="48999BE6" w14:textId="3E2952FE" w:rsidR="004A505F" w:rsidRPr="00976982" w:rsidRDefault="004A505F" w:rsidP="005D7CD3">
      <w:pPr>
        <w:pStyle w:val="ListParagraph"/>
        <w:numPr>
          <w:ilvl w:val="0"/>
          <w:numId w:val="45"/>
        </w:numPr>
      </w:pPr>
      <w:r w:rsidRPr="00976982">
        <w:t xml:space="preserve">Working closely with the Safeguarding Lead </w:t>
      </w:r>
    </w:p>
    <w:p w14:paraId="33AD2F63" w14:textId="0B6A4186" w:rsidR="004A505F" w:rsidRPr="00976982" w:rsidRDefault="004A505F" w:rsidP="00976982">
      <w:pPr>
        <w:pStyle w:val="ListParagraph"/>
        <w:numPr>
          <w:ilvl w:val="0"/>
          <w:numId w:val="39"/>
        </w:numPr>
      </w:pPr>
      <w:r w:rsidRPr="00976982">
        <w:t>Raising awareness of safeguarding across the organisation</w:t>
      </w:r>
    </w:p>
    <w:p w14:paraId="06605E31" w14:textId="1256AD96" w:rsidR="004A505F" w:rsidRPr="00976982" w:rsidRDefault="004A505F" w:rsidP="00976982">
      <w:pPr>
        <w:pStyle w:val="ListParagraph"/>
        <w:numPr>
          <w:ilvl w:val="0"/>
          <w:numId w:val="39"/>
        </w:numPr>
      </w:pPr>
      <w:r w:rsidRPr="00976982">
        <w:t>Taking a lead role in liaising with the SSAB</w:t>
      </w:r>
    </w:p>
    <w:p w14:paraId="1820B0C5" w14:textId="2BB497FD" w:rsidR="004A505F" w:rsidRPr="00976982" w:rsidRDefault="004A505F" w:rsidP="00976982">
      <w:pPr>
        <w:pStyle w:val="ListParagraph"/>
        <w:numPr>
          <w:ilvl w:val="0"/>
          <w:numId w:val="39"/>
        </w:numPr>
      </w:pPr>
      <w:r w:rsidRPr="00976982">
        <w:t>Ensuring that the Board receive regular safeguarding updates at Board meetings or Information and Support meetings</w:t>
      </w:r>
    </w:p>
    <w:p w14:paraId="67114B8E" w14:textId="6BB2EC4B" w:rsidR="00876671" w:rsidRPr="00976982" w:rsidRDefault="00876671" w:rsidP="00CF49DD">
      <w:pPr>
        <w:pStyle w:val="Heading2"/>
      </w:pPr>
      <w:bookmarkStart w:id="7" w:name="_Toc119494581"/>
      <w:r w:rsidRPr="00976982">
        <w:t>Staff and volunteers</w:t>
      </w:r>
      <w:bookmarkEnd w:id="7"/>
    </w:p>
    <w:p w14:paraId="038DD570" w14:textId="00F024BF" w:rsidR="00876671" w:rsidRPr="00976982" w:rsidRDefault="003F1DBC" w:rsidP="00976982">
      <w:pPr>
        <w:pStyle w:val="ListParagraph"/>
        <w:numPr>
          <w:ilvl w:val="0"/>
          <w:numId w:val="13"/>
        </w:numPr>
      </w:pPr>
      <w:r w:rsidRPr="00976982">
        <w:t>Attending safeguarding training as required in accordance with guidelines</w:t>
      </w:r>
      <w:r w:rsidR="00866CA6" w:rsidRPr="00976982">
        <w:t xml:space="preserve">, which is usually </w:t>
      </w:r>
      <w:r w:rsidRPr="00976982">
        <w:t>at induction and at least once every three years</w:t>
      </w:r>
    </w:p>
    <w:p w14:paraId="5258DD10" w14:textId="22A370F7" w:rsidR="003F1DBC" w:rsidRPr="00976982" w:rsidRDefault="003F1DBC" w:rsidP="00976982">
      <w:pPr>
        <w:pStyle w:val="ListParagraph"/>
        <w:numPr>
          <w:ilvl w:val="0"/>
          <w:numId w:val="13"/>
        </w:numPr>
      </w:pPr>
      <w:r w:rsidRPr="00976982">
        <w:t xml:space="preserve">Reporting any safeguarding concerns, suspicions, or allegations to the Healthwatch Sutton Safeguarding Lead in line with the guidance </w:t>
      </w:r>
      <w:r w:rsidR="0055017B" w:rsidRPr="00976982">
        <w:t xml:space="preserve">in </w:t>
      </w:r>
      <w:r w:rsidR="008A3979">
        <w:t xml:space="preserve">the section of </w:t>
      </w:r>
      <w:r w:rsidR="0055017B" w:rsidRPr="00976982">
        <w:t xml:space="preserve">this document </w:t>
      </w:r>
      <w:r w:rsidR="008A3979">
        <w:t xml:space="preserve">headed </w:t>
      </w:r>
      <w:r w:rsidR="008A3979">
        <w:rPr>
          <w:b/>
          <w:bCs/>
        </w:rPr>
        <w:t>Responding to a Concern</w:t>
      </w:r>
      <w:r w:rsidR="008F4004">
        <w:t>.</w:t>
      </w:r>
    </w:p>
    <w:p w14:paraId="180AB1D4" w14:textId="10DAFB01" w:rsidR="00876671" w:rsidRPr="00976982" w:rsidRDefault="007767D1" w:rsidP="00A33CBB">
      <w:pPr>
        <w:pStyle w:val="Heading1"/>
      </w:pPr>
      <w:bookmarkStart w:id="8" w:name="_Toc119494582"/>
      <w:r w:rsidRPr="00976982">
        <w:lastRenderedPageBreak/>
        <w:t>Understanding harm and abuse</w:t>
      </w:r>
      <w:bookmarkEnd w:id="8"/>
    </w:p>
    <w:p w14:paraId="031F7B1C" w14:textId="77777777" w:rsidR="007767D1" w:rsidRPr="00976982" w:rsidRDefault="007767D1" w:rsidP="00CF49DD">
      <w:pPr>
        <w:pStyle w:val="Heading2"/>
      </w:pPr>
      <w:bookmarkStart w:id="9" w:name="_Toc119494583"/>
      <w:r w:rsidRPr="00976982">
        <w:t>Risk of harm and abuse</w:t>
      </w:r>
      <w:bookmarkEnd w:id="9"/>
    </w:p>
    <w:p w14:paraId="69C2922C" w14:textId="2BB96080" w:rsidR="007767D1" w:rsidRPr="00976982" w:rsidRDefault="007767D1" w:rsidP="00976982">
      <w:r w:rsidRPr="00976982">
        <w:t xml:space="preserve">In relation to adults, the </w:t>
      </w:r>
      <w:hyperlink r:id="rId16" w:history="1">
        <w:r w:rsidRPr="00752175">
          <w:rPr>
            <w:rStyle w:val="Hyperlink"/>
          </w:rPr>
          <w:t>Care and Support Statutory Guidance</w:t>
        </w:r>
      </w:hyperlink>
      <w:r w:rsidRPr="00976982">
        <w:t xml:space="preserve"> states that “safeguarding duties apply to an adult who</w:t>
      </w:r>
      <w:r w:rsidR="00B43C68" w:rsidRPr="00976982">
        <w:t>:</w:t>
      </w:r>
    </w:p>
    <w:p w14:paraId="686E9A3F" w14:textId="77777777" w:rsidR="007767D1" w:rsidRPr="00976982" w:rsidRDefault="007767D1" w:rsidP="00976982">
      <w:pPr>
        <w:pStyle w:val="ListParagraph"/>
        <w:numPr>
          <w:ilvl w:val="0"/>
          <w:numId w:val="11"/>
        </w:numPr>
      </w:pPr>
      <w:r w:rsidRPr="00976982">
        <w:t>has needs for care and support (whether or not the local authority is meeting any of those needs)</w:t>
      </w:r>
    </w:p>
    <w:p w14:paraId="762041D1" w14:textId="77777777" w:rsidR="007767D1" w:rsidRPr="00976982" w:rsidRDefault="007767D1" w:rsidP="00976982">
      <w:pPr>
        <w:pStyle w:val="ListParagraph"/>
        <w:numPr>
          <w:ilvl w:val="0"/>
          <w:numId w:val="11"/>
        </w:numPr>
      </w:pPr>
      <w:r w:rsidRPr="00976982">
        <w:t>is experiencing, or at risk of, abuse or neglect</w:t>
      </w:r>
    </w:p>
    <w:p w14:paraId="4E89F473" w14:textId="77777777" w:rsidR="007767D1" w:rsidRPr="00976982" w:rsidRDefault="007767D1" w:rsidP="00976982">
      <w:pPr>
        <w:pStyle w:val="ListParagraph"/>
        <w:numPr>
          <w:ilvl w:val="0"/>
          <w:numId w:val="11"/>
        </w:numPr>
      </w:pPr>
      <w:r w:rsidRPr="00976982">
        <w:t>as a result of those care and support needs is unable to protect themselves from either the risk or, or the experience of abuse or neglect”</w:t>
      </w:r>
    </w:p>
    <w:p w14:paraId="72E6EB23" w14:textId="7342A54C" w:rsidR="000E65D1" w:rsidRPr="00976982" w:rsidRDefault="00426B16" w:rsidP="00976982">
      <w:r w:rsidRPr="00976982">
        <w:t xml:space="preserve">In these cases, local services must work together to </w:t>
      </w:r>
      <w:r w:rsidR="00F325DF" w:rsidRPr="00976982">
        <w:t xml:space="preserve">identify the risks </w:t>
      </w:r>
      <w:r w:rsidRPr="00976982">
        <w:t>and take steps to protect the</w:t>
      </w:r>
      <w:r w:rsidR="00F325DF" w:rsidRPr="00976982">
        <w:t xml:space="preserve"> adults from abuse, harm or neglect.</w:t>
      </w:r>
    </w:p>
    <w:p w14:paraId="0F9E2E3A" w14:textId="4A1B6269" w:rsidR="008828D2" w:rsidRPr="00976982" w:rsidRDefault="00426B16" w:rsidP="00976982">
      <w:r w:rsidRPr="00976982">
        <w:t>Adults who are more at risk of neglect or other forms of abuse include people who</w:t>
      </w:r>
      <w:r w:rsidR="00B43C68" w:rsidRPr="00976982">
        <w:t>:</w:t>
      </w:r>
    </w:p>
    <w:p w14:paraId="5C14501E" w14:textId="649FB7FA" w:rsidR="00426B16" w:rsidRPr="00976982" w:rsidRDefault="00426B16" w:rsidP="00976982">
      <w:pPr>
        <w:pStyle w:val="ListParagraph"/>
        <w:numPr>
          <w:ilvl w:val="0"/>
          <w:numId w:val="26"/>
        </w:numPr>
      </w:pPr>
      <w:r w:rsidRPr="00976982">
        <w:t>Have a learning disability</w:t>
      </w:r>
    </w:p>
    <w:p w14:paraId="5E61D5A0" w14:textId="4F5DD71B" w:rsidR="00426B16" w:rsidRPr="00976982" w:rsidRDefault="00426B16" w:rsidP="00976982">
      <w:pPr>
        <w:pStyle w:val="ListParagraph"/>
        <w:numPr>
          <w:ilvl w:val="0"/>
          <w:numId w:val="26"/>
        </w:numPr>
      </w:pPr>
      <w:r w:rsidRPr="00976982">
        <w:t>Have a physical disability and/or sensory impairment</w:t>
      </w:r>
    </w:p>
    <w:p w14:paraId="5E121913" w14:textId="1E67766A" w:rsidR="00426B16" w:rsidRPr="00976982" w:rsidRDefault="00426B16" w:rsidP="00976982">
      <w:pPr>
        <w:pStyle w:val="ListParagraph"/>
        <w:numPr>
          <w:ilvl w:val="0"/>
          <w:numId w:val="26"/>
        </w:numPr>
      </w:pPr>
      <w:r w:rsidRPr="00976982">
        <w:t>Have mental health needs</w:t>
      </w:r>
    </w:p>
    <w:p w14:paraId="02368CA4" w14:textId="4CB0DA07" w:rsidR="00426B16" w:rsidRPr="00976982" w:rsidRDefault="00426B16" w:rsidP="00976982">
      <w:pPr>
        <w:pStyle w:val="ListParagraph"/>
        <w:numPr>
          <w:ilvl w:val="0"/>
          <w:numId w:val="26"/>
        </w:numPr>
      </w:pPr>
      <w:r w:rsidRPr="00976982">
        <w:t>Have dementia or other cognitive impairment</w:t>
      </w:r>
    </w:p>
    <w:p w14:paraId="37A92A5E" w14:textId="38885B32" w:rsidR="00426B16" w:rsidRPr="00976982" w:rsidRDefault="00426B16" w:rsidP="00976982">
      <w:pPr>
        <w:pStyle w:val="ListParagraph"/>
        <w:numPr>
          <w:ilvl w:val="0"/>
          <w:numId w:val="26"/>
        </w:numPr>
      </w:pPr>
      <w:r w:rsidRPr="00976982">
        <w:t>Have a long-term illness or condition</w:t>
      </w:r>
    </w:p>
    <w:p w14:paraId="1F610543" w14:textId="0CEAECBE" w:rsidR="00791A82" w:rsidRPr="00976982" w:rsidRDefault="00791A82" w:rsidP="00976982">
      <w:pPr>
        <w:pStyle w:val="ListParagraph"/>
        <w:numPr>
          <w:ilvl w:val="0"/>
          <w:numId w:val="26"/>
        </w:numPr>
      </w:pPr>
      <w:r w:rsidRPr="00976982">
        <w:t>Are users of alcohol or drugs</w:t>
      </w:r>
    </w:p>
    <w:p w14:paraId="690F3A19" w14:textId="50E4DC49" w:rsidR="00876671" w:rsidRPr="00976982" w:rsidRDefault="0020722C" w:rsidP="00A33CBB">
      <w:pPr>
        <w:pStyle w:val="Heading2"/>
      </w:pPr>
      <w:bookmarkStart w:id="10" w:name="_Toc119494584"/>
      <w:r w:rsidRPr="00976982">
        <w:t>Types and indicators of abuse</w:t>
      </w:r>
      <w:bookmarkEnd w:id="10"/>
    </w:p>
    <w:p w14:paraId="17914D1F" w14:textId="115EADE4" w:rsidR="00206F62" w:rsidRPr="00976982" w:rsidRDefault="00206F62" w:rsidP="00976982">
      <w:r w:rsidRPr="00976982">
        <w:t>Abuse includes not only active acts of harm or mistreatment, but also the failure to act, the neglect of someone’s needs.</w:t>
      </w:r>
      <w:r w:rsidR="00DD4E00" w:rsidRPr="00976982">
        <w:t xml:space="preserve"> </w:t>
      </w:r>
      <w:r w:rsidRPr="00976982">
        <w:t>Individuals may be abused or neglected in a family or in an institutional or community setting or online.</w:t>
      </w:r>
    </w:p>
    <w:p w14:paraId="6E4A70D1" w14:textId="02CAE9E6" w:rsidR="00F21573" w:rsidRPr="00976982" w:rsidRDefault="00F21573" w:rsidP="00976982">
      <w:r w:rsidRPr="00976982">
        <w:t xml:space="preserve">The list below is </w:t>
      </w:r>
      <w:r w:rsidR="00FD2A86">
        <w:t xml:space="preserve">based on the </w:t>
      </w:r>
      <w:hyperlink r:id="rId17" w:history="1">
        <w:r w:rsidR="00FD2A86" w:rsidRPr="00CA08E2">
          <w:rPr>
            <w:rStyle w:val="Hyperlink"/>
          </w:rPr>
          <w:t>Care and Support Statutory Guidance</w:t>
        </w:r>
      </w:hyperlink>
      <w:r w:rsidR="00FD2A86">
        <w:t xml:space="preserve"> and is </w:t>
      </w:r>
      <w:r w:rsidRPr="00976982">
        <w:t xml:space="preserve">a guide to the sorts of behaviours </w:t>
      </w:r>
      <w:r w:rsidR="00AA4D7F" w:rsidRPr="00976982">
        <w:t xml:space="preserve">that could give rise to a safeguarding concern. </w:t>
      </w:r>
      <w:r w:rsidRPr="00976982">
        <w:t xml:space="preserve"> </w:t>
      </w:r>
      <w:r w:rsidR="009640B2" w:rsidRPr="00976982">
        <w:t>It is not exhaustive.</w:t>
      </w:r>
    </w:p>
    <w:p w14:paraId="4F8393BB" w14:textId="0E45E9BA" w:rsidR="00876671" w:rsidRPr="00BE1494" w:rsidRDefault="00876671" w:rsidP="00BE1494">
      <w:pPr>
        <w:pStyle w:val="Heading3"/>
      </w:pPr>
      <w:r w:rsidRPr="00BE1494">
        <w:t>Physical abuse</w:t>
      </w:r>
    </w:p>
    <w:p w14:paraId="2B2433B4" w14:textId="4DF74553" w:rsidR="009640B2" w:rsidRPr="00976982" w:rsidRDefault="009640B2" w:rsidP="00976982">
      <w:pPr>
        <w:pStyle w:val="ListParagraph"/>
        <w:numPr>
          <w:ilvl w:val="0"/>
          <w:numId w:val="14"/>
        </w:numPr>
      </w:pPr>
      <w:r w:rsidRPr="00976982">
        <w:t>Assault, hitting, slapping, pushing</w:t>
      </w:r>
    </w:p>
    <w:p w14:paraId="222B67E2" w14:textId="3C96DC3D" w:rsidR="009640B2" w:rsidRPr="00976982" w:rsidRDefault="009640B2" w:rsidP="00976982">
      <w:pPr>
        <w:pStyle w:val="ListParagraph"/>
        <w:numPr>
          <w:ilvl w:val="0"/>
          <w:numId w:val="14"/>
        </w:numPr>
      </w:pPr>
      <w:r w:rsidRPr="00976982">
        <w:t>Misuse of medication</w:t>
      </w:r>
    </w:p>
    <w:p w14:paraId="028BF1DF" w14:textId="6F34465E" w:rsidR="009640B2" w:rsidRPr="00976982" w:rsidRDefault="009640B2" w:rsidP="00976982">
      <w:pPr>
        <w:pStyle w:val="ListParagraph"/>
        <w:numPr>
          <w:ilvl w:val="0"/>
          <w:numId w:val="14"/>
        </w:numPr>
      </w:pPr>
      <w:r w:rsidRPr="00976982">
        <w:t>Restraint</w:t>
      </w:r>
    </w:p>
    <w:p w14:paraId="77B4048F" w14:textId="71B503BA" w:rsidR="009640B2" w:rsidRPr="00976982" w:rsidRDefault="009640B2" w:rsidP="00976982">
      <w:pPr>
        <w:pStyle w:val="ListParagraph"/>
        <w:numPr>
          <w:ilvl w:val="0"/>
          <w:numId w:val="14"/>
        </w:numPr>
      </w:pPr>
      <w:r w:rsidRPr="00976982">
        <w:t>Inappropriate physical sanctions</w:t>
      </w:r>
    </w:p>
    <w:p w14:paraId="4958B970" w14:textId="13C7F77F" w:rsidR="00BE1494" w:rsidRDefault="00F21573" w:rsidP="00BE1494">
      <w:pPr>
        <w:pStyle w:val="Heading3"/>
      </w:pPr>
      <w:r w:rsidRPr="00976982">
        <w:t>Domestic violence</w:t>
      </w:r>
    </w:p>
    <w:p w14:paraId="795D3B82" w14:textId="39994E2C" w:rsidR="00F21573" w:rsidRPr="00976982" w:rsidRDefault="003E022D" w:rsidP="00BE1494">
      <w:pPr>
        <w:ind w:left="720"/>
      </w:pPr>
      <w:r w:rsidRPr="00976982">
        <w:t xml:space="preserve">The cross-government definition of domestic violence and abuse is: “any incident or pattern of incidents of controlling, coercive, threatening behaviour, violence or abuse between those aged 16 or over </w:t>
      </w:r>
      <w:r w:rsidR="008828D2" w:rsidRPr="00976982">
        <w:t>who are</w:t>
      </w:r>
      <w:r w:rsidRPr="00976982">
        <w:t xml:space="preserve">, or have been, </w:t>
      </w:r>
      <w:r w:rsidR="008828D2" w:rsidRPr="00976982">
        <w:t>intimate</w:t>
      </w:r>
      <w:r w:rsidRPr="00976982">
        <w:t xml:space="preserve"> partners of family members regardless of gender or sexuality.” The abuse can encompass, but is not limited to:</w:t>
      </w:r>
    </w:p>
    <w:p w14:paraId="1C5725C3" w14:textId="6E173BDD" w:rsidR="009640B2" w:rsidRPr="00976982" w:rsidRDefault="009640B2" w:rsidP="00976982">
      <w:pPr>
        <w:pStyle w:val="ListParagraph"/>
        <w:numPr>
          <w:ilvl w:val="0"/>
          <w:numId w:val="15"/>
        </w:numPr>
      </w:pPr>
      <w:r w:rsidRPr="00976982">
        <w:t>Psychological</w:t>
      </w:r>
    </w:p>
    <w:p w14:paraId="1D30CF79" w14:textId="79107FE7" w:rsidR="009640B2" w:rsidRPr="00976982" w:rsidRDefault="009640B2" w:rsidP="00976982">
      <w:pPr>
        <w:pStyle w:val="ListParagraph"/>
        <w:numPr>
          <w:ilvl w:val="0"/>
          <w:numId w:val="15"/>
        </w:numPr>
      </w:pPr>
      <w:r w:rsidRPr="00976982">
        <w:t>Physical</w:t>
      </w:r>
    </w:p>
    <w:p w14:paraId="03CD5F34" w14:textId="118B024E" w:rsidR="009640B2" w:rsidRPr="00976982" w:rsidRDefault="009640B2" w:rsidP="00976982">
      <w:pPr>
        <w:pStyle w:val="ListParagraph"/>
        <w:numPr>
          <w:ilvl w:val="0"/>
          <w:numId w:val="15"/>
        </w:numPr>
      </w:pPr>
      <w:r w:rsidRPr="00976982">
        <w:t>Sexual</w:t>
      </w:r>
    </w:p>
    <w:p w14:paraId="6E426217" w14:textId="210EE5C2" w:rsidR="009640B2" w:rsidRPr="00976982" w:rsidRDefault="009640B2" w:rsidP="00976982">
      <w:pPr>
        <w:pStyle w:val="ListParagraph"/>
        <w:numPr>
          <w:ilvl w:val="0"/>
          <w:numId w:val="15"/>
        </w:numPr>
      </w:pPr>
      <w:r w:rsidRPr="00976982">
        <w:t>Financial</w:t>
      </w:r>
    </w:p>
    <w:p w14:paraId="27F97768" w14:textId="60B41BA5" w:rsidR="009640B2" w:rsidRPr="00976982" w:rsidRDefault="009640B2" w:rsidP="00976982">
      <w:pPr>
        <w:pStyle w:val="ListParagraph"/>
        <w:numPr>
          <w:ilvl w:val="0"/>
          <w:numId w:val="15"/>
        </w:numPr>
      </w:pPr>
      <w:r w:rsidRPr="00976982">
        <w:t>Emotional</w:t>
      </w:r>
    </w:p>
    <w:p w14:paraId="3CC8F0DA" w14:textId="1655EEF6" w:rsidR="009640B2" w:rsidRPr="00976982" w:rsidRDefault="009640B2" w:rsidP="00976982">
      <w:pPr>
        <w:pStyle w:val="ListParagraph"/>
        <w:numPr>
          <w:ilvl w:val="0"/>
          <w:numId w:val="15"/>
        </w:numPr>
      </w:pPr>
      <w:r w:rsidRPr="00976982">
        <w:t>So-called ‘honour’ based violence</w:t>
      </w:r>
    </w:p>
    <w:p w14:paraId="2BFE28A5" w14:textId="37867EEF" w:rsidR="00876671" w:rsidRPr="00976982" w:rsidRDefault="00876671" w:rsidP="00BE1494">
      <w:pPr>
        <w:pStyle w:val="Heading3"/>
      </w:pPr>
      <w:r w:rsidRPr="00BE1494">
        <w:lastRenderedPageBreak/>
        <w:t>Sexual</w:t>
      </w:r>
      <w:r w:rsidRPr="00976982">
        <w:t xml:space="preserve"> abuse</w:t>
      </w:r>
    </w:p>
    <w:p w14:paraId="3DC05FBB" w14:textId="5BD784D1" w:rsidR="009640B2" w:rsidRPr="00976982" w:rsidRDefault="009640B2" w:rsidP="00976982">
      <w:pPr>
        <w:pStyle w:val="ListParagraph"/>
        <w:numPr>
          <w:ilvl w:val="0"/>
          <w:numId w:val="16"/>
        </w:numPr>
      </w:pPr>
      <w:r w:rsidRPr="00976982">
        <w:t>Rape or sexual assault</w:t>
      </w:r>
    </w:p>
    <w:p w14:paraId="43B559DF" w14:textId="6619B376" w:rsidR="009640B2" w:rsidRPr="00976982" w:rsidRDefault="009640B2" w:rsidP="00976982">
      <w:pPr>
        <w:pStyle w:val="ListParagraph"/>
        <w:numPr>
          <w:ilvl w:val="0"/>
          <w:numId w:val="16"/>
        </w:numPr>
      </w:pPr>
      <w:r w:rsidRPr="00976982">
        <w:t>Indecent exposure</w:t>
      </w:r>
    </w:p>
    <w:p w14:paraId="03069D6C" w14:textId="7FA7DA11" w:rsidR="009640B2" w:rsidRPr="00976982" w:rsidRDefault="009640B2" w:rsidP="00976982">
      <w:pPr>
        <w:pStyle w:val="ListParagraph"/>
        <w:numPr>
          <w:ilvl w:val="0"/>
          <w:numId w:val="16"/>
        </w:numPr>
      </w:pPr>
      <w:r w:rsidRPr="00976982">
        <w:t>Sexual harassment</w:t>
      </w:r>
    </w:p>
    <w:p w14:paraId="471CD505" w14:textId="39A45596" w:rsidR="009640B2" w:rsidRPr="00976982" w:rsidRDefault="009640B2" w:rsidP="00976982">
      <w:pPr>
        <w:pStyle w:val="ListParagraph"/>
        <w:numPr>
          <w:ilvl w:val="0"/>
          <w:numId w:val="16"/>
        </w:numPr>
      </w:pPr>
      <w:r w:rsidRPr="00976982">
        <w:t>Inappropriate looking or touching</w:t>
      </w:r>
    </w:p>
    <w:p w14:paraId="707425F8" w14:textId="1F5A08B9" w:rsidR="009640B2" w:rsidRPr="00976982" w:rsidRDefault="009640B2" w:rsidP="00976982">
      <w:pPr>
        <w:pStyle w:val="ListParagraph"/>
        <w:numPr>
          <w:ilvl w:val="0"/>
          <w:numId w:val="16"/>
        </w:numPr>
      </w:pPr>
      <w:r w:rsidRPr="00976982">
        <w:t>Unwanted sexual teasing or innuendo</w:t>
      </w:r>
    </w:p>
    <w:p w14:paraId="5C0D5701" w14:textId="2E3243ED" w:rsidR="009640B2" w:rsidRPr="00976982" w:rsidRDefault="009640B2" w:rsidP="00976982">
      <w:pPr>
        <w:pStyle w:val="ListParagraph"/>
        <w:numPr>
          <w:ilvl w:val="0"/>
          <w:numId w:val="16"/>
        </w:numPr>
      </w:pPr>
      <w:r w:rsidRPr="00976982">
        <w:t>Sexual photography</w:t>
      </w:r>
    </w:p>
    <w:p w14:paraId="5964A068" w14:textId="221EB60C" w:rsidR="009640B2" w:rsidRPr="00976982" w:rsidRDefault="009640B2" w:rsidP="00976982">
      <w:pPr>
        <w:pStyle w:val="ListParagraph"/>
        <w:numPr>
          <w:ilvl w:val="0"/>
          <w:numId w:val="16"/>
        </w:numPr>
      </w:pPr>
      <w:r w:rsidRPr="00976982">
        <w:t>Subjection to pornography or witnessing sexual acts</w:t>
      </w:r>
    </w:p>
    <w:p w14:paraId="0F3AA8EE" w14:textId="699F8BA2" w:rsidR="009640B2" w:rsidRPr="00976982" w:rsidRDefault="009640B2" w:rsidP="00976982">
      <w:pPr>
        <w:pStyle w:val="ListParagraph"/>
        <w:numPr>
          <w:ilvl w:val="0"/>
          <w:numId w:val="16"/>
        </w:numPr>
      </w:pPr>
      <w:r w:rsidRPr="00976982">
        <w:t>Sexual acts to which the adult has not consented or was pressured into consenting</w:t>
      </w:r>
    </w:p>
    <w:p w14:paraId="44CE0036" w14:textId="1EDB0BDC" w:rsidR="00876671" w:rsidRPr="00976982" w:rsidRDefault="00876671" w:rsidP="00BE1494">
      <w:pPr>
        <w:pStyle w:val="Heading3"/>
      </w:pPr>
      <w:r w:rsidRPr="00976982">
        <w:t>Psychological abuse</w:t>
      </w:r>
    </w:p>
    <w:p w14:paraId="5462B27D" w14:textId="5E1452FF" w:rsidR="00866CA6" w:rsidRPr="00976982" w:rsidRDefault="00866CA6" w:rsidP="00976982">
      <w:pPr>
        <w:pStyle w:val="ListParagraph"/>
        <w:numPr>
          <w:ilvl w:val="0"/>
          <w:numId w:val="17"/>
        </w:numPr>
      </w:pPr>
      <w:r w:rsidRPr="00976982">
        <w:t>Emotional abuse and verbal abuse</w:t>
      </w:r>
    </w:p>
    <w:p w14:paraId="4A64A592" w14:textId="16142F8E" w:rsidR="00866CA6" w:rsidRPr="00976982" w:rsidRDefault="00866CA6" w:rsidP="00976982">
      <w:pPr>
        <w:pStyle w:val="ListParagraph"/>
        <w:numPr>
          <w:ilvl w:val="0"/>
          <w:numId w:val="17"/>
        </w:numPr>
      </w:pPr>
      <w:r w:rsidRPr="00976982">
        <w:t>Threats of harm or abandonment</w:t>
      </w:r>
    </w:p>
    <w:p w14:paraId="1F712A9D" w14:textId="51CB7CFC" w:rsidR="00866CA6" w:rsidRPr="00976982" w:rsidRDefault="00866CA6" w:rsidP="00976982">
      <w:pPr>
        <w:pStyle w:val="ListParagraph"/>
        <w:numPr>
          <w:ilvl w:val="0"/>
          <w:numId w:val="17"/>
        </w:numPr>
      </w:pPr>
      <w:r w:rsidRPr="00976982">
        <w:t>Deprivation of contact, not allowing someone to see friends or people from services or support networks</w:t>
      </w:r>
    </w:p>
    <w:p w14:paraId="482996A3" w14:textId="0686BC46" w:rsidR="00866CA6" w:rsidRPr="00976982" w:rsidRDefault="00866CA6" w:rsidP="00976982">
      <w:pPr>
        <w:pStyle w:val="ListParagraph"/>
        <w:numPr>
          <w:ilvl w:val="0"/>
          <w:numId w:val="17"/>
        </w:numPr>
      </w:pPr>
      <w:r w:rsidRPr="00976982">
        <w:t>Humiliating, blaming, controlling, intimidating, coercing</w:t>
      </w:r>
    </w:p>
    <w:p w14:paraId="79F16C0B" w14:textId="1FB37178" w:rsidR="00866CA6" w:rsidRPr="00976982" w:rsidRDefault="00866CA6" w:rsidP="00976982">
      <w:pPr>
        <w:pStyle w:val="ListParagraph"/>
        <w:numPr>
          <w:ilvl w:val="0"/>
          <w:numId w:val="17"/>
        </w:numPr>
      </w:pPr>
      <w:r w:rsidRPr="00976982">
        <w:t>Cyberbullying</w:t>
      </w:r>
    </w:p>
    <w:p w14:paraId="64211020" w14:textId="77777777" w:rsidR="0020722C" w:rsidRPr="00976982" w:rsidRDefault="00F21573" w:rsidP="00BE1494">
      <w:pPr>
        <w:pStyle w:val="Heading3"/>
        <w:rPr>
          <w:rFonts w:cstheme="minorHAnsi"/>
        </w:rPr>
      </w:pPr>
      <w:r w:rsidRPr="00976982">
        <w:t>Financial or material abuse</w:t>
      </w:r>
      <w:r w:rsidR="0020722C" w:rsidRPr="00976982">
        <w:t xml:space="preserve"> includes </w:t>
      </w:r>
    </w:p>
    <w:p w14:paraId="09BEFA62" w14:textId="77777777" w:rsidR="0020722C" w:rsidRPr="00976982" w:rsidRDefault="0020722C" w:rsidP="00976982">
      <w:pPr>
        <w:pStyle w:val="ListParagraph"/>
        <w:numPr>
          <w:ilvl w:val="0"/>
          <w:numId w:val="10"/>
        </w:numPr>
        <w:rPr>
          <w:rStyle w:val="legds"/>
          <w:rFonts w:cstheme="minorHAnsi"/>
        </w:rPr>
      </w:pPr>
      <w:r w:rsidRPr="00976982">
        <w:rPr>
          <w:rStyle w:val="legds"/>
          <w:rFonts w:cstheme="minorHAnsi"/>
          <w:color w:val="000000"/>
        </w:rPr>
        <w:t xml:space="preserve">having money or other property stolen </w:t>
      </w:r>
    </w:p>
    <w:p w14:paraId="313BC64D" w14:textId="77777777" w:rsidR="0020722C" w:rsidRPr="00976982" w:rsidRDefault="0020722C" w:rsidP="00976982">
      <w:pPr>
        <w:pStyle w:val="ListParagraph"/>
        <w:numPr>
          <w:ilvl w:val="0"/>
          <w:numId w:val="10"/>
        </w:numPr>
        <w:rPr>
          <w:rStyle w:val="legds"/>
          <w:rFonts w:cstheme="minorHAnsi"/>
        </w:rPr>
      </w:pPr>
      <w:r w:rsidRPr="00976982">
        <w:rPr>
          <w:rStyle w:val="legds"/>
          <w:rFonts w:cstheme="minorHAnsi"/>
          <w:color w:val="000000"/>
        </w:rPr>
        <w:t xml:space="preserve">being defrauded </w:t>
      </w:r>
    </w:p>
    <w:p w14:paraId="10EE173E" w14:textId="62A7E6B9" w:rsidR="0020722C" w:rsidRPr="00976982" w:rsidRDefault="0020722C" w:rsidP="00976982">
      <w:pPr>
        <w:pStyle w:val="ListParagraph"/>
        <w:numPr>
          <w:ilvl w:val="0"/>
          <w:numId w:val="10"/>
        </w:numPr>
        <w:rPr>
          <w:rStyle w:val="legds"/>
          <w:rFonts w:cstheme="minorHAnsi"/>
        </w:rPr>
      </w:pPr>
      <w:r w:rsidRPr="00976982">
        <w:rPr>
          <w:rStyle w:val="legds"/>
          <w:rFonts w:cstheme="minorHAnsi"/>
          <w:color w:val="000000"/>
        </w:rPr>
        <w:t>being put under pressure in relation to money or other property</w:t>
      </w:r>
      <w:r w:rsidR="00791A82" w:rsidRPr="00976982">
        <w:rPr>
          <w:rStyle w:val="legds"/>
          <w:rFonts w:cstheme="minorHAnsi"/>
          <w:color w:val="000000"/>
        </w:rPr>
        <w:t>, e.g., wills or investments</w:t>
      </w:r>
    </w:p>
    <w:p w14:paraId="2E589009" w14:textId="44C2A30E" w:rsidR="0020722C" w:rsidRPr="00976982" w:rsidRDefault="0020722C" w:rsidP="00976982">
      <w:pPr>
        <w:pStyle w:val="ListParagraph"/>
        <w:numPr>
          <w:ilvl w:val="0"/>
          <w:numId w:val="10"/>
        </w:numPr>
        <w:rPr>
          <w:rStyle w:val="legds"/>
          <w:rFonts w:cstheme="minorHAnsi"/>
        </w:rPr>
      </w:pPr>
      <w:r w:rsidRPr="00976982">
        <w:rPr>
          <w:rStyle w:val="legds"/>
          <w:rFonts w:cstheme="minorHAnsi"/>
          <w:color w:val="000000"/>
        </w:rPr>
        <w:t>having money or other property misused.</w:t>
      </w:r>
    </w:p>
    <w:p w14:paraId="79F61C0F" w14:textId="77EBD05F" w:rsidR="003E022D" w:rsidRPr="00976982" w:rsidRDefault="003E022D" w:rsidP="00976982">
      <w:pPr>
        <w:pStyle w:val="ListParagraph"/>
        <w:numPr>
          <w:ilvl w:val="0"/>
          <w:numId w:val="10"/>
        </w:numPr>
      </w:pPr>
      <w:r w:rsidRPr="00976982">
        <w:rPr>
          <w:rStyle w:val="legds"/>
          <w:rFonts w:cstheme="minorHAnsi"/>
          <w:color w:val="000000"/>
        </w:rPr>
        <w:t>Internet scams, postal scams, doorstep crime</w:t>
      </w:r>
      <w:r w:rsidR="00712A91">
        <w:rPr>
          <w:rStyle w:val="legds"/>
          <w:rFonts w:cstheme="minorHAnsi"/>
          <w:color w:val="000000"/>
        </w:rPr>
        <w:t xml:space="preserve"> – these should also be reported to the police</w:t>
      </w:r>
    </w:p>
    <w:p w14:paraId="6ABCFC9D" w14:textId="184F3F45" w:rsidR="00F21573" w:rsidRPr="00976982" w:rsidRDefault="00F21573" w:rsidP="00BE1494">
      <w:pPr>
        <w:pStyle w:val="Heading3"/>
      </w:pPr>
      <w:r w:rsidRPr="00976982">
        <w:t>Modern slavery</w:t>
      </w:r>
    </w:p>
    <w:p w14:paraId="333AFEDA" w14:textId="6B8110DD" w:rsidR="00B5619A" w:rsidRPr="00976982" w:rsidRDefault="00B5619A" w:rsidP="00976982">
      <w:pPr>
        <w:pStyle w:val="ListParagraph"/>
        <w:numPr>
          <w:ilvl w:val="0"/>
          <w:numId w:val="19"/>
        </w:numPr>
      </w:pPr>
      <w:r w:rsidRPr="00976982">
        <w:t>Slavery</w:t>
      </w:r>
    </w:p>
    <w:p w14:paraId="7213B5F1" w14:textId="0049F286" w:rsidR="00B5619A" w:rsidRPr="00976982" w:rsidRDefault="00B5619A" w:rsidP="00976982">
      <w:pPr>
        <w:pStyle w:val="ListParagraph"/>
        <w:numPr>
          <w:ilvl w:val="0"/>
          <w:numId w:val="19"/>
        </w:numPr>
      </w:pPr>
      <w:r w:rsidRPr="00976982">
        <w:t>Human trafficking</w:t>
      </w:r>
    </w:p>
    <w:p w14:paraId="2FE99F93" w14:textId="12DFDBC2" w:rsidR="00B5619A" w:rsidRPr="00976982" w:rsidRDefault="00B5619A" w:rsidP="00976982">
      <w:pPr>
        <w:pStyle w:val="ListParagraph"/>
        <w:numPr>
          <w:ilvl w:val="0"/>
          <w:numId w:val="19"/>
        </w:numPr>
      </w:pPr>
      <w:r w:rsidRPr="00976982">
        <w:t>Forced labour and domestic servitude</w:t>
      </w:r>
    </w:p>
    <w:p w14:paraId="30FE557A" w14:textId="2BE43623" w:rsidR="00B5619A" w:rsidRPr="00976982" w:rsidRDefault="00B5619A" w:rsidP="00976982">
      <w:pPr>
        <w:pStyle w:val="ListParagraph"/>
        <w:numPr>
          <w:ilvl w:val="0"/>
          <w:numId w:val="19"/>
        </w:numPr>
      </w:pPr>
      <w:r w:rsidRPr="00976982">
        <w:t>Traffickers and slave master using whatever means they have at their disposal to coerce, deceive, and force individuals into a life of abuse, servitude and inhumane treatment</w:t>
      </w:r>
    </w:p>
    <w:p w14:paraId="0EC53D21" w14:textId="7F1B897B" w:rsidR="00F21573" w:rsidRPr="00976982" w:rsidRDefault="00F21573" w:rsidP="00BE1494">
      <w:pPr>
        <w:pStyle w:val="Heading3"/>
      </w:pPr>
      <w:r w:rsidRPr="00976982">
        <w:t>Discriminatory abuse</w:t>
      </w:r>
    </w:p>
    <w:p w14:paraId="5E763C0D" w14:textId="41B7BD10" w:rsidR="00B5619A" w:rsidRPr="00976982" w:rsidRDefault="00B5619A" w:rsidP="00976982">
      <w:pPr>
        <w:pStyle w:val="ListParagraph"/>
        <w:numPr>
          <w:ilvl w:val="0"/>
          <w:numId w:val="22"/>
        </w:numPr>
      </w:pPr>
      <w:r w:rsidRPr="00976982">
        <w:t>Harassment</w:t>
      </w:r>
    </w:p>
    <w:p w14:paraId="4E3C4A38" w14:textId="04A69E41" w:rsidR="00B5619A" w:rsidRPr="00976982" w:rsidRDefault="00B5619A" w:rsidP="00976982">
      <w:pPr>
        <w:pStyle w:val="ListParagraph"/>
        <w:numPr>
          <w:ilvl w:val="0"/>
          <w:numId w:val="22"/>
        </w:numPr>
      </w:pPr>
      <w:r w:rsidRPr="00976982">
        <w:t>Slurs or similar treatment because of, for example,</w:t>
      </w:r>
    </w:p>
    <w:p w14:paraId="221FA7D2" w14:textId="3DCF2D4B" w:rsidR="00B5619A" w:rsidRPr="00976982" w:rsidRDefault="00B5619A" w:rsidP="00976982">
      <w:pPr>
        <w:pStyle w:val="ListParagraph"/>
        <w:numPr>
          <w:ilvl w:val="1"/>
          <w:numId w:val="22"/>
        </w:numPr>
      </w:pPr>
      <w:r w:rsidRPr="00976982">
        <w:t>Race</w:t>
      </w:r>
      <w:r w:rsidR="003B0D07">
        <w:t>,</w:t>
      </w:r>
      <w:r w:rsidRPr="00976982">
        <w:t xml:space="preserve"> gender </w:t>
      </w:r>
      <w:r w:rsidR="003B0D07">
        <w:t xml:space="preserve">or </w:t>
      </w:r>
      <w:r w:rsidRPr="00976982">
        <w:t xml:space="preserve">gender identity </w:t>
      </w:r>
    </w:p>
    <w:p w14:paraId="3C27E9B7" w14:textId="09B53DD7" w:rsidR="00B5619A" w:rsidRPr="00976982" w:rsidRDefault="00B5619A" w:rsidP="00976982">
      <w:pPr>
        <w:pStyle w:val="ListParagraph"/>
        <w:numPr>
          <w:ilvl w:val="1"/>
          <w:numId w:val="22"/>
        </w:numPr>
      </w:pPr>
      <w:r w:rsidRPr="00976982">
        <w:t>Age</w:t>
      </w:r>
    </w:p>
    <w:p w14:paraId="39A6AB50" w14:textId="15347814" w:rsidR="00B5619A" w:rsidRPr="00976982" w:rsidRDefault="00B5619A" w:rsidP="00976982">
      <w:pPr>
        <w:pStyle w:val="ListParagraph"/>
        <w:numPr>
          <w:ilvl w:val="1"/>
          <w:numId w:val="22"/>
        </w:numPr>
      </w:pPr>
      <w:r w:rsidRPr="00976982">
        <w:t>Disability</w:t>
      </w:r>
    </w:p>
    <w:p w14:paraId="089DFEC2" w14:textId="0A98028C" w:rsidR="00B5619A" w:rsidRPr="00976982" w:rsidRDefault="00B5619A" w:rsidP="00976982">
      <w:pPr>
        <w:pStyle w:val="ListParagraph"/>
        <w:numPr>
          <w:ilvl w:val="1"/>
          <w:numId w:val="22"/>
        </w:numPr>
      </w:pPr>
      <w:r w:rsidRPr="00976982">
        <w:t>Sexual orientation</w:t>
      </w:r>
    </w:p>
    <w:p w14:paraId="04A67813" w14:textId="137460CF" w:rsidR="00B5619A" w:rsidRPr="00976982" w:rsidRDefault="003B0D07" w:rsidP="00976982">
      <w:pPr>
        <w:pStyle w:val="ListParagraph"/>
        <w:numPr>
          <w:ilvl w:val="1"/>
          <w:numId w:val="22"/>
        </w:numPr>
      </w:pPr>
      <w:r>
        <w:t>R</w:t>
      </w:r>
      <w:r w:rsidR="00B5619A" w:rsidRPr="00976982">
        <w:t>eligion</w:t>
      </w:r>
    </w:p>
    <w:p w14:paraId="502CE623" w14:textId="0711C4BC" w:rsidR="00F21573" w:rsidRPr="00976982" w:rsidRDefault="00F21573" w:rsidP="00BE1494">
      <w:pPr>
        <w:pStyle w:val="Heading3"/>
      </w:pPr>
      <w:r w:rsidRPr="00976982">
        <w:lastRenderedPageBreak/>
        <w:t>Organisation abuse</w:t>
      </w:r>
    </w:p>
    <w:p w14:paraId="4FB51EB6" w14:textId="36961BF7" w:rsidR="00B5619A" w:rsidRPr="00976982" w:rsidRDefault="00B5619A" w:rsidP="00976982">
      <w:pPr>
        <w:pStyle w:val="ListParagraph"/>
        <w:numPr>
          <w:ilvl w:val="0"/>
          <w:numId w:val="23"/>
        </w:numPr>
      </w:pPr>
      <w:r w:rsidRPr="00976982">
        <w:t>Neglect or poor care practice in an institution or setting such as a care home or hospital</w:t>
      </w:r>
    </w:p>
    <w:p w14:paraId="37BB97BE" w14:textId="6C6BBA94" w:rsidR="00B5619A" w:rsidRPr="00976982" w:rsidRDefault="00B5619A" w:rsidP="00976982">
      <w:pPr>
        <w:pStyle w:val="ListParagraph"/>
        <w:numPr>
          <w:ilvl w:val="0"/>
          <w:numId w:val="23"/>
        </w:numPr>
      </w:pPr>
      <w:r w:rsidRPr="00976982">
        <w:t>May result from the structures and processes of an organisation</w:t>
      </w:r>
    </w:p>
    <w:p w14:paraId="7BE1B52D" w14:textId="662E31CA" w:rsidR="00B5619A" w:rsidRPr="00976982" w:rsidRDefault="00B5619A" w:rsidP="00976982">
      <w:pPr>
        <w:pStyle w:val="ListParagraph"/>
        <w:numPr>
          <w:ilvl w:val="0"/>
          <w:numId w:val="23"/>
        </w:numPr>
      </w:pPr>
      <w:r w:rsidRPr="00976982">
        <w:t>May involve ongoing ill-treatment or one-off incidents</w:t>
      </w:r>
    </w:p>
    <w:p w14:paraId="153912F6" w14:textId="019AD8FC" w:rsidR="00B5619A" w:rsidRPr="00976982" w:rsidRDefault="00B5619A" w:rsidP="00976982">
      <w:pPr>
        <w:pStyle w:val="ListParagraph"/>
        <w:numPr>
          <w:ilvl w:val="0"/>
          <w:numId w:val="23"/>
        </w:numPr>
      </w:pPr>
      <w:r w:rsidRPr="00976982">
        <w:t>May include care that is provided in the individual’s own home</w:t>
      </w:r>
    </w:p>
    <w:p w14:paraId="57C70BFD" w14:textId="78EE9A10" w:rsidR="00F21573" w:rsidRPr="00976982" w:rsidRDefault="00F21573" w:rsidP="00BE1494">
      <w:pPr>
        <w:pStyle w:val="Heading3"/>
      </w:pPr>
      <w:r w:rsidRPr="00976982">
        <w:t xml:space="preserve">Neglect and acts of commission </w:t>
      </w:r>
    </w:p>
    <w:p w14:paraId="74995D55" w14:textId="7132E5CA" w:rsidR="00B5619A" w:rsidRPr="00976982" w:rsidRDefault="00B5619A" w:rsidP="00976982">
      <w:pPr>
        <w:pStyle w:val="ListParagraph"/>
        <w:numPr>
          <w:ilvl w:val="0"/>
          <w:numId w:val="24"/>
        </w:numPr>
      </w:pPr>
      <w:r w:rsidRPr="00976982">
        <w:t>Ignoring medical, emotional or physical care needs</w:t>
      </w:r>
    </w:p>
    <w:p w14:paraId="48A6650D" w14:textId="34ED0C2B" w:rsidR="00B5619A" w:rsidRPr="00976982" w:rsidRDefault="00B5619A" w:rsidP="00976982">
      <w:pPr>
        <w:pStyle w:val="ListParagraph"/>
        <w:numPr>
          <w:ilvl w:val="0"/>
          <w:numId w:val="24"/>
        </w:numPr>
      </w:pPr>
      <w:r w:rsidRPr="00976982">
        <w:t>Failing to provide access to appropriate health, care and support or educational services</w:t>
      </w:r>
    </w:p>
    <w:p w14:paraId="04F8922F" w14:textId="58ED9013" w:rsidR="00B5619A" w:rsidRPr="00976982" w:rsidRDefault="00B5619A" w:rsidP="00976982">
      <w:pPr>
        <w:pStyle w:val="ListParagraph"/>
        <w:numPr>
          <w:ilvl w:val="0"/>
          <w:numId w:val="24"/>
        </w:numPr>
      </w:pPr>
      <w:r w:rsidRPr="00976982">
        <w:t>With-holding life necessities such as food, medication, heating</w:t>
      </w:r>
    </w:p>
    <w:p w14:paraId="3C4604E3" w14:textId="3E3430D9" w:rsidR="00F21573" w:rsidRPr="00976982" w:rsidRDefault="00F21573" w:rsidP="00BE1494">
      <w:pPr>
        <w:pStyle w:val="Heading3"/>
      </w:pPr>
      <w:r w:rsidRPr="00976982">
        <w:t>Self-neglect</w:t>
      </w:r>
    </w:p>
    <w:p w14:paraId="65D9E453" w14:textId="77777777" w:rsidR="00C37CBC" w:rsidRPr="00976982" w:rsidRDefault="00C37CBC" w:rsidP="00976982">
      <w:pPr>
        <w:pStyle w:val="ListParagraph"/>
        <w:numPr>
          <w:ilvl w:val="0"/>
          <w:numId w:val="27"/>
        </w:numPr>
      </w:pPr>
      <w:r w:rsidRPr="00976982">
        <w:t>Concerns should also be reported although it may lead to a needs assessment rather than a safeguarding enquiry</w:t>
      </w:r>
    </w:p>
    <w:p w14:paraId="73193DC2" w14:textId="77777777" w:rsidR="00C37CBC" w:rsidRPr="00976982" w:rsidRDefault="00C37CBC" w:rsidP="00976982">
      <w:pPr>
        <w:pStyle w:val="ListParagraph"/>
        <w:numPr>
          <w:ilvl w:val="0"/>
          <w:numId w:val="27"/>
        </w:numPr>
      </w:pPr>
      <w:r w:rsidRPr="00976982">
        <w:t>Covers a wide range of behaviours such as neglecting to care for personal hygiene, health or surroundings, including hoarding.</w:t>
      </w:r>
    </w:p>
    <w:p w14:paraId="2C687C45" w14:textId="5BB459BC" w:rsidR="00C37CBC" w:rsidRPr="00976982" w:rsidRDefault="00C37CBC" w:rsidP="00BE1494">
      <w:pPr>
        <w:pStyle w:val="Heading3"/>
      </w:pPr>
      <w:r w:rsidRPr="00976982">
        <w:t>Cyber-bullying</w:t>
      </w:r>
    </w:p>
    <w:p w14:paraId="30E361BB" w14:textId="39DC9447" w:rsidR="00C37CBC" w:rsidRPr="00976982" w:rsidRDefault="00C37CBC" w:rsidP="00976982">
      <w:pPr>
        <w:pStyle w:val="ListParagraph"/>
        <w:numPr>
          <w:ilvl w:val="0"/>
          <w:numId w:val="28"/>
        </w:numPr>
      </w:pPr>
      <w:r w:rsidRPr="00976982">
        <w:t>Repeatedly mak</w:t>
      </w:r>
      <w:r w:rsidR="00EC6C19" w:rsidRPr="00976982">
        <w:t xml:space="preserve">ing </w:t>
      </w:r>
      <w:r w:rsidRPr="00976982">
        <w:t xml:space="preserve">fun of another person or humiliating them in online forums or </w:t>
      </w:r>
      <w:r w:rsidR="00EC6C19" w:rsidRPr="00976982">
        <w:t xml:space="preserve">in texts or emails. </w:t>
      </w:r>
    </w:p>
    <w:p w14:paraId="5E313737" w14:textId="2AAC09AD" w:rsidR="00EC6C19" w:rsidRPr="00976982" w:rsidRDefault="00EC6C19" w:rsidP="00976982">
      <w:pPr>
        <w:pStyle w:val="ListParagraph"/>
        <w:numPr>
          <w:ilvl w:val="0"/>
          <w:numId w:val="28"/>
        </w:numPr>
      </w:pPr>
      <w:r w:rsidRPr="00976982">
        <w:t>It may also be discriminatory abuse</w:t>
      </w:r>
    </w:p>
    <w:p w14:paraId="6FDF67EA" w14:textId="5486E290" w:rsidR="00C37CBC" w:rsidRPr="00976982" w:rsidRDefault="00C37CBC" w:rsidP="00BE1494">
      <w:pPr>
        <w:pStyle w:val="Heading3"/>
      </w:pPr>
      <w:r w:rsidRPr="00976982">
        <w:t>Mate crime</w:t>
      </w:r>
    </w:p>
    <w:p w14:paraId="55AE9F27" w14:textId="5BA54A7D" w:rsidR="00EC6C19" w:rsidRPr="00976982" w:rsidRDefault="00EC6C19" w:rsidP="00976982">
      <w:pPr>
        <w:pStyle w:val="ListParagraph"/>
        <w:numPr>
          <w:ilvl w:val="0"/>
          <w:numId w:val="29"/>
        </w:numPr>
      </w:pPr>
      <w:r w:rsidRPr="00976982">
        <w:t>When vulnerable people are befriended by a member of the community who then exploit or take advantage of them</w:t>
      </w:r>
    </w:p>
    <w:p w14:paraId="6F278509" w14:textId="1791AF96" w:rsidR="00EC6C19" w:rsidRPr="00976982" w:rsidRDefault="00EC6C19" w:rsidP="00976982">
      <w:pPr>
        <w:pStyle w:val="ListParagraph"/>
        <w:numPr>
          <w:ilvl w:val="0"/>
          <w:numId w:val="29"/>
        </w:numPr>
      </w:pPr>
      <w:r w:rsidRPr="00976982">
        <w:t>Carried out by someone the adult knows and may have seen as a friend</w:t>
      </w:r>
    </w:p>
    <w:p w14:paraId="337C6B9B" w14:textId="7707C32F" w:rsidR="00EC6C19" w:rsidRPr="00976982" w:rsidRDefault="00EC6C19" w:rsidP="00976982">
      <w:pPr>
        <w:pStyle w:val="ListParagraph"/>
        <w:numPr>
          <w:ilvl w:val="0"/>
          <w:numId w:val="29"/>
        </w:numPr>
      </w:pPr>
      <w:r w:rsidRPr="00976982">
        <w:t>Often happens in private</w:t>
      </w:r>
    </w:p>
    <w:p w14:paraId="7293FF4F" w14:textId="4B09CE4E" w:rsidR="00C37CBC" w:rsidRPr="00976982" w:rsidRDefault="00C37CBC" w:rsidP="00BE1494">
      <w:pPr>
        <w:pStyle w:val="Heading3"/>
      </w:pPr>
      <w:r w:rsidRPr="00976982">
        <w:t>Forced Marriage</w:t>
      </w:r>
    </w:p>
    <w:p w14:paraId="523C64BF" w14:textId="75101150" w:rsidR="00EC6C19" w:rsidRPr="00976982" w:rsidRDefault="00EC6C19" w:rsidP="00976982">
      <w:pPr>
        <w:pStyle w:val="ListParagraph"/>
        <w:numPr>
          <w:ilvl w:val="0"/>
          <w:numId w:val="30"/>
        </w:numPr>
      </w:pPr>
      <w:r w:rsidRPr="00976982">
        <w:t xml:space="preserve">Occurs when people are married against their will and without their consent. It is a criminal act to force someone to marry. </w:t>
      </w:r>
    </w:p>
    <w:p w14:paraId="7F73C281" w14:textId="66BFFB86" w:rsidR="00F21573" w:rsidRPr="00976982" w:rsidRDefault="007767D1" w:rsidP="00A33CBB">
      <w:pPr>
        <w:pStyle w:val="Heading1"/>
      </w:pPr>
      <w:bookmarkStart w:id="11" w:name="_Ref119322962"/>
      <w:bookmarkStart w:id="12" w:name="_Toc119494585"/>
      <w:r w:rsidRPr="00976982">
        <w:lastRenderedPageBreak/>
        <w:t>Responding to a concern</w:t>
      </w:r>
      <w:bookmarkEnd w:id="11"/>
      <w:bookmarkEnd w:id="12"/>
    </w:p>
    <w:p w14:paraId="0D35D02D" w14:textId="6CE8F9AE" w:rsidR="0037244A" w:rsidRPr="00976982" w:rsidRDefault="00783577" w:rsidP="00976982">
      <w:r w:rsidRPr="00976982">
        <w:t>An</w:t>
      </w:r>
      <w:r w:rsidR="0055017B" w:rsidRPr="00976982">
        <w:t xml:space="preserve">y member of staff or volunteer </w:t>
      </w:r>
      <w:r w:rsidR="00516F31" w:rsidRPr="00976982">
        <w:t>may witness behaviour that gives rise to safeguarding concerns or come into contact with a vulnerable adult who makes a disclosure</w:t>
      </w:r>
      <w:r w:rsidR="00DD4E00" w:rsidRPr="00976982">
        <w:t xml:space="preserve"> of abuse or neglect</w:t>
      </w:r>
      <w:r w:rsidR="00516F31" w:rsidRPr="00976982">
        <w:t>. It is not always easy to know how to respond and the following protocol is to support us in responding appropriately and in compliance with the legal framework.</w:t>
      </w:r>
    </w:p>
    <w:p w14:paraId="1FF7D4A0" w14:textId="68D0D036" w:rsidR="0037244A" w:rsidRPr="00976982" w:rsidRDefault="00AC3B7F" w:rsidP="00CF49DD">
      <w:pPr>
        <w:pStyle w:val="Heading2"/>
      </w:pPr>
      <w:bookmarkStart w:id="13" w:name="_Toc119494586"/>
      <w:r>
        <w:t>If s</w:t>
      </w:r>
      <w:r w:rsidR="0037244A" w:rsidRPr="00976982">
        <w:t>omeone raises a concern with you</w:t>
      </w:r>
      <w:bookmarkEnd w:id="13"/>
    </w:p>
    <w:p w14:paraId="4E8DA2D8" w14:textId="337D4576" w:rsidR="0000654D" w:rsidRPr="00A218DC" w:rsidRDefault="0000654D" w:rsidP="00A218DC">
      <w:pPr>
        <w:pStyle w:val="Heading4"/>
      </w:pPr>
      <w:r w:rsidRPr="00A218DC">
        <w:t>While hearing the concern</w:t>
      </w:r>
    </w:p>
    <w:p w14:paraId="1C511AA4" w14:textId="14CE287B" w:rsidR="0037244A" w:rsidRPr="00976982" w:rsidRDefault="0037244A" w:rsidP="00976982">
      <w:pPr>
        <w:pStyle w:val="ListParagraph"/>
        <w:numPr>
          <w:ilvl w:val="0"/>
          <w:numId w:val="3"/>
        </w:numPr>
      </w:pPr>
      <w:r w:rsidRPr="00EE33B2">
        <w:rPr>
          <w:b/>
          <w:bCs/>
        </w:rPr>
        <w:t>Remain calm</w:t>
      </w:r>
      <w:r w:rsidRPr="00976982">
        <w:t xml:space="preserve"> (do not show shock or disbelief)</w:t>
      </w:r>
    </w:p>
    <w:p w14:paraId="01D41034" w14:textId="0CB9AB18" w:rsidR="008214FB" w:rsidRPr="00976982" w:rsidRDefault="0052620D" w:rsidP="00976982">
      <w:pPr>
        <w:pStyle w:val="ListParagraph"/>
        <w:numPr>
          <w:ilvl w:val="1"/>
          <w:numId w:val="3"/>
        </w:numPr>
      </w:pPr>
      <w:r>
        <w:t>M</w:t>
      </w:r>
      <w:r w:rsidR="0000654D" w:rsidRPr="00976982">
        <w:t xml:space="preserve">aintain </w:t>
      </w:r>
      <w:r>
        <w:t xml:space="preserve">a </w:t>
      </w:r>
      <w:r w:rsidR="0000654D" w:rsidRPr="00976982">
        <w:t>sympathetic and at the same time matter of fact stance</w:t>
      </w:r>
      <w:r w:rsidR="00C73A02" w:rsidRPr="00976982">
        <w:t xml:space="preserve"> that conveys that </w:t>
      </w:r>
      <w:r w:rsidR="0000654D" w:rsidRPr="00976982">
        <w:t>you are taking the matter seriously</w:t>
      </w:r>
    </w:p>
    <w:p w14:paraId="21CF2259" w14:textId="03E630F7" w:rsidR="0000654D" w:rsidRPr="00976982" w:rsidRDefault="0052620D" w:rsidP="00976982">
      <w:pPr>
        <w:pStyle w:val="ListParagraph"/>
        <w:numPr>
          <w:ilvl w:val="1"/>
          <w:numId w:val="3"/>
        </w:numPr>
      </w:pPr>
      <w:r>
        <w:t>D</w:t>
      </w:r>
      <w:r w:rsidR="0000654D" w:rsidRPr="00976982">
        <w:t>o not ignore or dismiss</w:t>
      </w:r>
    </w:p>
    <w:p w14:paraId="16654A36" w14:textId="2F79C26B" w:rsidR="008214FB" w:rsidRPr="00976982" w:rsidRDefault="0052620D" w:rsidP="00976982">
      <w:pPr>
        <w:pStyle w:val="ListParagraph"/>
        <w:numPr>
          <w:ilvl w:val="1"/>
          <w:numId w:val="3"/>
        </w:numPr>
      </w:pPr>
      <w:r>
        <w:t>D</w:t>
      </w:r>
      <w:r w:rsidR="008214FB" w:rsidRPr="00976982">
        <w:t>o not make judgements or express your own views</w:t>
      </w:r>
    </w:p>
    <w:p w14:paraId="43C53590" w14:textId="38930C13" w:rsidR="0037244A" w:rsidRPr="00EE33B2" w:rsidRDefault="0000654D" w:rsidP="0052620D">
      <w:pPr>
        <w:pStyle w:val="ListParagraph"/>
        <w:numPr>
          <w:ilvl w:val="0"/>
          <w:numId w:val="3"/>
        </w:numPr>
        <w:spacing w:before="240"/>
        <w:ind w:left="714" w:hanging="357"/>
        <w:rPr>
          <w:b/>
          <w:bCs/>
        </w:rPr>
      </w:pPr>
      <w:r w:rsidRPr="00EE33B2">
        <w:rPr>
          <w:b/>
          <w:bCs/>
        </w:rPr>
        <w:t>Decide if there is an immediate risk to their safety</w:t>
      </w:r>
    </w:p>
    <w:p w14:paraId="2CEE118C" w14:textId="1DEED415" w:rsidR="0037244A" w:rsidRPr="00976982" w:rsidRDefault="0000654D" w:rsidP="00976982">
      <w:pPr>
        <w:pStyle w:val="ListParagraph"/>
        <w:numPr>
          <w:ilvl w:val="1"/>
          <w:numId w:val="3"/>
        </w:numPr>
      </w:pPr>
      <w:r w:rsidRPr="00976982">
        <w:t>C</w:t>
      </w:r>
      <w:r w:rsidR="0037244A" w:rsidRPr="00976982">
        <w:t>all emergency services</w:t>
      </w:r>
      <w:r w:rsidRPr="00976982">
        <w:t xml:space="preserve"> if needed</w:t>
      </w:r>
    </w:p>
    <w:p w14:paraId="6E4AFD52" w14:textId="28B25289" w:rsidR="00C73A02" w:rsidRPr="00976982" w:rsidRDefault="00C73A02" w:rsidP="00976982">
      <w:pPr>
        <w:pStyle w:val="ListParagraph"/>
        <w:numPr>
          <w:ilvl w:val="1"/>
          <w:numId w:val="3"/>
        </w:numPr>
      </w:pPr>
      <w:r w:rsidRPr="00976982">
        <w:t>Take care to preserve forensic evidence if relevant</w:t>
      </w:r>
    </w:p>
    <w:p w14:paraId="774C49C3" w14:textId="3ABC7160" w:rsidR="0037244A" w:rsidRPr="00EE33B2" w:rsidRDefault="0037244A" w:rsidP="00976982">
      <w:pPr>
        <w:pStyle w:val="ListParagraph"/>
        <w:numPr>
          <w:ilvl w:val="0"/>
          <w:numId w:val="3"/>
        </w:numPr>
        <w:rPr>
          <w:b/>
          <w:bCs/>
        </w:rPr>
      </w:pPr>
      <w:r w:rsidRPr="00EE33B2">
        <w:rPr>
          <w:b/>
          <w:bCs/>
        </w:rPr>
        <w:t>Listen carefully</w:t>
      </w:r>
    </w:p>
    <w:p w14:paraId="6A563E66" w14:textId="2B82B8DE" w:rsidR="0037244A" w:rsidRPr="00976982" w:rsidRDefault="0037244A" w:rsidP="00976982">
      <w:pPr>
        <w:pStyle w:val="ListParagraph"/>
        <w:numPr>
          <w:ilvl w:val="1"/>
          <w:numId w:val="3"/>
        </w:numPr>
      </w:pPr>
      <w:r w:rsidRPr="00976982">
        <w:t>You</w:t>
      </w:r>
      <w:r w:rsidR="006D2E01" w:rsidRPr="00976982">
        <w:t>r report should</w:t>
      </w:r>
      <w:r w:rsidRPr="00976982">
        <w:t xml:space="preserve"> be as close to the words actually used </w:t>
      </w:r>
      <w:r w:rsidR="000A103A" w:rsidRPr="00976982">
        <w:t xml:space="preserve">by the individual </w:t>
      </w:r>
      <w:r w:rsidR="006D2E01" w:rsidRPr="00976982">
        <w:t xml:space="preserve">speaking to you </w:t>
      </w:r>
      <w:r w:rsidRPr="00976982">
        <w:t>as possible</w:t>
      </w:r>
      <w:r w:rsidR="006D2E01" w:rsidRPr="00976982">
        <w:t>, rather than your summary or interpretation</w:t>
      </w:r>
    </w:p>
    <w:p w14:paraId="50FAF297" w14:textId="7EEC1BC8" w:rsidR="006D2E01" w:rsidRPr="00976982" w:rsidRDefault="006D2E01" w:rsidP="00976982">
      <w:pPr>
        <w:pStyle w:val="ListParagraph"/>
        <w:numPr>
          <w:ilvl w:val="1"/>
          <w:numId w:val="3"/>
        </w:numPr>
      </w:pPr>
      <w:r w:rsidRPr="00976982">
        <w:t xml:space="preserve">Listen to any wishes they express as well as the alleged facts, and although you cannot promise that this is what will happen, you should include these wishes as expressed at the time, in your report. This is </w:t>
      </w:r>
      <w:r w:rsidR="00DD4E00" w:rsidRPr="00976982">
        <w:t>in line with the principle of</w:t>
      </w:r>
      <w:r w:rsidRPr="00976982">
        <w:t xml:space="preserve"> ‘Making Safeguarding Personal’</w:t>
      </w:r>
      <w:r w:rsidR="003F2BAE" w:rsidRPr="00976982">
        <w:t xml:space="preserve"> (see </w:t>
      </w:r>
      <w:r w:rsidR="003F2BAE" w:rsidRPr="00976982">
        <w:rPr>
          <w:i/>
          <w:iCs/>
        </w:rPr>
        <w:fldChar w:fldCharType="begin"/>
      </w:r>
      <w:r w:rsidR="003F2BAE" w:rsidRPr="00976982">
        <w:rPr>
          <w:i/>
          <w:iCs/>
        </w:rPr>
        <w:instrText xml:space="preserve"> REF _Ref119487764 \h  \* MERGEFORMAT </w:instrText>
      </w:r>
      <w:r w:rsidR="003F2BAE" w:rsidRPr="00976982">
        <w:rPr>
          <w:i/>
          <w:iCs/>
        </w:rPr>
      </w:r>
      <w:r w:rsidR="003F2BAE" w:rsidRPr="00976982">
        <w:rPr>
          <w:i/>
          <w:iCs/>
        </w:rPr>
        <w:fldChar w:fldCharType="separate"/>
      </w:r>
      <w:r w:rsidR="00B41CB4" w:rsidRPr="00976982">
        <w:rPr>
          <w:i/>
          <w:iCs/>
        </w:rPr>
        <w:t xml:space="preserve">Appendix 3: Other </w:t>
      </w:r>
      <w:r w:rsidR="00B41CB4" w:rsidRPr="00976982">
        <w:t>resources</w:t>
      </w:r>
      <w:r w:rsidR="003F2BAE" w:rsidRPr="00976982">
        <w:rPr>
          <w:i/>
          <w:iCs/>
        </w:rPr>
        <w:fldChar w:fldCharType="end"/>
      </w:r>
      <w:r w:rsidR="003F2BAE" w:rsidRPr="00976982">
        <w:rPr>
          <w:i/>
          <w:iCs/>
        </w:rPr>
        <w:t>)</w:t>
      </w:r>
      <w:r w:rsidRPr="00976982">
        <w:t>.</w:t>
      </w:r>
    </w:p>
    <w:p w14:paraId="78E8A76A" w14:textId="21D6F752" w:rsidR="008214FB" w:rsidRPr="00976982" w:rsidRDefault="008214FB" w:rsidP="00976982">
      <w:pPr>
        <w:pStyle w:val="ListParagraph"/>
        <w:numPr>
          <w:ilvl w:val="0"/>
          <w:numId w:val="3"/>
        </w:numPr>
      </w:pPr>
      <w:r w:rsidRPr="00EE33B2">
        <w:rPr>
          <w:b/>
          <w:bCs/>
        </w:rPr>
        <w:t>If possible, make written notes</w:t>
      </w:r>
      <w:r w:rsidRPr="00976982">
        <w:t xml:space="preserve"> </w:t>
      </w:r>
      <w:r w:rsidR="00EE33B2">
        <w:br/>
      </w:r>
      <w:r w:rsidRPr="00976982">
        <w:t>during the conversation and check accuracy with the</w:t>
      </w:r>
      <w:r w:rsidR="00DD4E00" w:rsidRPr="00976982">
        <w:t xml:space="preserve"> individual concerned</w:t>
      </w:r>
      <w:r w:rsidR="000A1688" w:rsidRPr="00976982">
        <w:t>. Include the date, time and place and your name and signature.</w:t>
      </w:r>
    </w:p>
    <w:p w14:paraId="1901786B" w14:textId="3947BB4B" w:rsidR="0037244A" w:rsidRPr="00EE33B2" w:rsidRDefault="0037244A" w:rsidP="00976982">
      <w:pPr>
        <w:pStyle w:val="ListParagraph"/>
        <w:numPr>
          <w:ilvl w:val="0"/>
          <w:numId w:val="3"/>
        </w:numPr>
        <w:rPr>
          <w:b/>
          <w:bCs/>
        </w:rPr>
      </w:pPr>
      <w:r w:rsidRPr="00EE33B2">
        <w:rPr>
          <w:b/>
          <w:bCs/>
        </w:rPr>
        <w:t>Keep questions to a minimum</w:t>
      </w:r>
    </w:p>
    <w:p w14:paraId="0FE90FC1" w14:textId="66FE4750" w:rsidR="0037244A" w:rsidRPr="00976982" w:rsidRDefault="0000654D" w:rsidP="00976982">
      <w:pPr>
        <w:pStyle w:val="ListParagraph"/>
        <w:numPr>
          <w:ilvl w:val="1"/>
          <w:numId w:val="3"/>
        </w:numPr>
      </w:pPr>
      <w:r w:rsidRPr="00976982">
        <w:t>Remember that i</w:t>
      </w:r>
      <w:r w:rsidR="0037244A" w:rsidRPr="00976982">
        <w:t>t is not your job to</w:t>
      </w:r>
      <w:r w:rsidR="000A103A" w:rsidRPr="00976982">
        <w:t xml:space="preserve"> find out ‘the truth’ of the matter, only to listen and document what is being said. Investigating the concern or allegation is the job of the professional adult protection services.</w:t>
      </w:r>
    </w:p>
    <w:p w14:paraId="70AD38A5" w14:textId="46C86462" w:rsidR="0037244A" w:rsidRPr="00976982" w:rsidRDefault="0037244A" w:rsidP="00976982">
      <w:pPr>
        <w:pStyle w:val="ListParagraph"/>
        <w:numPr>
          <w:ilvl w:val="1"/>
          <w:numId w:val="3"/>
        </w:numPr>
      </w:pPr>
      <w:r w:rsidRPr="00976982">
        <w:t>Be very careful not to make suggestions via leading questions</w:t>
      </w:r>
    </w:p>
    <w:p w14:paraId="6B8EFEE7" w14:textId="455BD7CF" w:rsidR="0037244A" w:rsidRPr="00976982" w:rsidRDefault="0000654D" w:rsidP="00976982">
      <w:pPr>
        <w:pStyle w:val="ListParagraph"/>
        <w:numPr>
          <w:ilvl w:val="0"/>
          <w:numId w:val="3"/>
        </w:numPr>
      </w:pPr>
      <w:r w:rsidRPr="00BE76AB">
        <w:rPr>
          <w:b/>
          <w:bCs/>
        </w:rPr>
        <w:t xml:space="preserve">Explain </w:t>
      </w:r>
      <w:r w:rsidR="0037244A" w:rsidRPr="00BE76AB">
        <w:rPr>
          <w:b/>
          <w:bCs/>
        </w:rPr>
        <w:t xml:space="preserve">that you </w:t>
      </w:r>
      <w:r w:rsidR="00DD4E00" w:rsidRPr="00BE76AB">
        <w:rPr>
          <w:b/>
          <w:bCs/>
        </w:rPr>
        <w:t xml:space="preserve">have a duty of care </w:t>
      </w:r>
      <w:r w:rsidR="0037244A" w:rsidRPr="00BE76AB">
        <w:rPr>
          <w:b/>
          <w:bCs/>
        </w:rPr>
        <w:t xml:space="preserve">to discuss this with </w:t>
      </w:r>
      <w:r w:rsidRPr="00BE76AB">
        <w:rPr>
          <w:b/>
          <w:bCs/>
        </w:rPr>
        <w:t>the senior</w:t>
      </w:r>
      <w:r w:rsidR="0037244A" w:rsidRPr="00BE76AB">
        <w:rPr>
          <w:b/>
          <w:bCs/>
        </w:rPr>
        <w:t xml:space="preserve"> person responsible for safeguarding</w:t>
      </w:r>
      <w:r w:rsidRPr="00BE76AB">
        <w:rPr>
          <w:b/>
          <w:bCs/>
        </w:rPr>
        <w:t xml:space="preserve"> </w:t>
      </w:r>
      <w:r w:rsidR="00DD4E00" w:rsidRPr="00BE76AB">
        <w:rPr>
          <w:b/>
          <w:bCs/>
        </w:rPr>
        <w:t>at Healthwatch Sutton</w:t>
      </w:r>
      <w:r w:rsidRPr="00BE76AB">
        <w:rPr>
          <w:b/>
          <w:bCs/>
        </w:rPr>
        <w:t xml:space="preserve"> </w:t>
      </w:r>
      <w:r w:rsidR="00BE76AB" w:rsidRPr="00BE76AB">
        <w:rPr>
          <w:b/>
          <w:bCs/>
        </w:rPr>
        <w:br/>
      </w:r>
      <w:r w:rsidRPr="00976982">
        <w:t>and they may contact the Sutton safeguarding team</w:t>
      </w:r>
    </w:p>
    <w:p w14:paraId="2A42BC7B" w14:textId="7894033A" w:rsidR="0037244A" w:rsidRPr="00976982" w:rsidRDefault="0037244A" w:rsidP="00976982">
      <w:pPr>
        <w:pStyle w:val="ListParagraph"/>
        <w:numPr>
          <w:ilvl w:val="1"/>
          <w:numId w:val="3"/>
        </w:numPr>
      </w:pPr>
      <w:r w:rsidRPr="00976982">
        <w:t>Aim to get the</w:t>
      </w:r>
      <w:r w:rsidR="0000654D" w:rsidRPr="00976982">
        <w:t xml:space="preserve"> individual’s</w:t>
      </w:r>
      <w:r w:rsidRPr="00976982">
        <w:t xml:space="preserve"> consent for </w:t>
      </w:r>
      <w:r w:rsidR="0000654D" w:rsidRPr="00976982">
        <w:t xml:space="preserve">this </w:t>
      </w:r>
      <w:r w:rsidRPr="00976982">
        <w:t xml:space="preserve">information sharing </w:t>
      </w:r>
    </w:p>
    <w:p w14:paraId="5AD9316F" w14:textId="7DAB30F9" w:rsidR="0037244A" w:rsidRPr="00976982" w:rsidRDefault="0037244A" w:rsidP="00976982">
      <w:pPr>
        <w:pStyle w:val="ListParagraph"/>
        <w:numPr>
          <w:ilvl w:val="1"/>
          <w:numId w:val="3"/>
        </w:numPr>
      </w:pPr>
      <w:r w:rsidRPr="00976982">
        <w:t xml:space="preserve">Reassure them </w:t>
      </w:r>
      <w:r w:rsidR="006D2E01" w:rsidRPr="00976982">
        <w:t>that what they have said</w:t>
      </w:r>
      <w:r w:rsidRPr="00976982">
        <w:t xml:space="preserve"> will only be disclosed to people who need to know</w:t>
      </w:r>
    </w:p>
    <w:p w14:paraId="13057718" w14:textId="73C41C2F" w:rsidR="00C73A02" w:rsidRPr="00976982" w:rsidRDefault="00C73A02" w:rsidP="00976982">
      <w:pPr>
        <w:pStyle w:val="ListParagraph"/>
        <w:numPr>
          <w:ilvl w:val="1"/>
          <w:numId w:val="3"/>
        </w:numPr>
      </w:pPr>
      <w:r w:rsidRPr="00976982">
        <w:t>Do not promise to keep anything secret</w:t>
      </w:r>
    </w:p>
    <w:p w14:paraId="457A3960" w14:textId="6F72ECD9" w:rsidR="00C73A02" w:rsidRPr="00976982" w:rsidRDefault="00C73A02" w:rsidP="00976982">
      <w:pPr>
        <w:pStyle w:val="ListParagraph"/>
        <w:numPr>
          <w:ilvl w:val="0"/>
          <w:numId w:val="3"/>
        </w:numPr>
      </w:pPr>
      <w:r w:rsidRPr="00BE76AB">
        <w:rPr>
          <w:b/>
          <w:bCs/>
        </w:rPr>
        <w:t>Give the</w:t>
      </w:r>
      <w:r w:rsidR="00FA2F03" w:rsidRPr="00BE76AB">
        <w:rPr>
          <w:b/>
          <w:bCs/>
        </w:rPr>
        <w:t xml:space="preserve"> adult</w:t>
      </w:r>
      <w:r w:rsidRPr="00BE76AB">
        <w:rPr>
          <w:b/>
          <w:bCs/>
        </w:rPr>
        <w:t xml:space="preserve"> contact details </w:t>
      </w:r>
      <w:r w:rsidR="00BE76AB" w:rsidRPr="00BE76AB">
        <w:rPr>
          <w:b/>
          <w:bCs/>
        </w:rPr>
        <w:br/>
      </w:r>
      <w:r w:rsidRPr="00976982">
        <w:t xml:space="preserve">so they can report further issues or follow up </w:t>
      </w:r>
    </w:p>
    <w:p w14:paraId="67753448" w14:textId="28C1741F" w:rsidR="008214FB" w:rsidRPr="00976982" w:rsidRDefault="008214FB" w:rsidP="00976982">
      <w:pPr>
        <w:pStyle w:val="ListParagraph"/>
        <w:numPr>
          <w:ilvl w:val="0"/>
          <w:numId w:val="3"/>
        </w:numPr>
      </w:pPr>
      <w:r w:rsidRPr="00BE76AB">
        <w:rPr>
          <w:b/>
          <w:bCs/>
        </w:rPr>
        <w:t>Do not confront the alleged abuser</w:t>
      </w:r>
      <w:r w:rsidR="00BE76AB" w:rsidRPr="00BE76AB">
        <w:rPr>
          <w:b/>
          <w:bCs/>
        </w:rPr>
        <w:br/>
      </w:r>
      <w:r w:rsidRPr="00976982">
        <w:t xml:space="preserve">or take any </w:t>
      </w:r>
      <w:r w:rsidR="00DD4E00" w:rsidRPr="00976982">
        <w:t>other independent actions.</w:t>
      </w:r>
    </w:p>
    <w:p w14:paraId="688E464F" w14:textId="7FBAC92D" w:rsidR="00C73A02" w:rsidRPr="00976982" w:rsidRDefault="00AC3B7F" w:rsidP="00CF49DD">
      <w:pPr>
        <w:pStyle w:val="Heading2"/>
      </w:pPr>
      <w:bookmarkStart w:id="14" w:name="_Toc119494587"/>
      <w:r>
        <w:t>If y</w:t>
      </w:r>
      <w:r w:rsidR="00C73A02" w:rsidRPr="00976982">
        <w:t>ou have a concern arising from what you have observed</w:t>
      </w:r>
      <w:bookmarkEnd w:id="14"/>
    </w:p>
    <w:p w14:paraId="10CC2A99" w14:textId="2EC9786B" w:rsidR="000A103A" w:rsidRPr="00976982" w:rsidRDefault="000A103A" w:rsidP="00976982">
      <w:pPr>
        <w:pStyle w:val="ListParagraph"/>
        <w:numPr>
          <w:ilvl w:val="0"/>
          <w:numId w:val="18"/>
        </w:numPr>
      </w:pPr>
      <w:r w:rsidRPr="00976982">
        <w:t>Sometimes the concern might arise from something you witnessed rather than something you were told.  Observe as objectively as possible what you saw and/or heard</w:t>
      </w:r>
      <w:r w:rsidR="00866CA6" w:rsidRPr="00976982">
        <w:t>, and th</w:t>
      </w:r>
      <w:r w:rsidR="00516F31" w:rsidRPr="00976982">
        <w:t xml:space="preserve">e </w:t>
      </w:r>
      <w:r w:rsidR="00866CA6" w:rsidRPr="00976982">
        <w:t>place and context in which this occurred</w:t>
      </w:r>
      <w:r w:rsidR="00FA2F03" w:rsidRPr="00976982">
        <w:t>.</w:t>
      </w:r>
    </w:p>
    <w:p w14:paraId="1A14AF06" w14:textId="3C8EDCBB" w:rsidR="00516F31" w:rsidRDefault="00AC3B7F" w:rsidP="009B1B60">
      <w:pPr>
        <w:pStyle w:val="Heading2"/>
      </w:pPr>
      <w:r>
        <w:lastRenderedPageBreak/>
        <w:t>In any case</w:t>
      </w:r>
      <w:r w:rsidR="00DD7AB8">
        <w:t>, document the concern fully as soon as possible</w:t>
      </w:r>
      <w:r w:rsidR="007124BA">
        <w:t xml:space="preserve">: </w:t>
      </w:r>
      <w:r w:rsidR="007124BA" w:rsidRPr="00976982">
        <w:t xml:space="preserve">in nearly all instances would be </w:t>
      </w:r>
      <w:r w:rsidR="00D4434C">
        <w:t xml:space="preserve">on </w:t>
      </w:r>
      <w:r w:rsidR="007124BA" w:rsidRPr="00976982">
        <w:t>the same day</w:t>
      </w:r>
    </w:p>
    <w:p w14:paraId="13A0A701" w14:textId="77777777" w:rsidR="009B1B60" w:rsidRPr="00976982" w:rsidRDefault="009B1B60" w:rsidP="009B1B60">
      <w:pPr>
        <w:pStyle w:val="Heading3"/>
        <w:numPr>
          <w:ilvl w:val="0"/>
          <w:numId w:val="0"/>
        </w:numPr>
        <w:spacing w:before="240"/>
      </w:pPr>
      <w:r>
        <w:t>I</w:t>
      </w:r>
      <w:r w:rsidRPr="00976982">
        <w:t xml:space="preserve">deally </w:t>
      </w:r>
      <w:r>
        <w:t xml:space="preserve">use </w:t>
      </w:r>
      <w:r w:rsidRPr="00976982">
        <w:t xml:space="preserve">the form </w:t>
      </w:r>
      <w:r>
        <w:t xml:space="preserve">in Appendix 6 of this policy – but </w:t>
      </w:r>
      <w:r w:rsidRPr="00976982">
        <w:t xml:space="preserve">documenting as soon as possible is more important than </w:t>
      </w:r>
      <w:r>
        <w:t xml:space="preserve">using </w:t>
      </w:r>
      <w:r w:rsidRPr="00976982">
        <w:t>the right form. Be sure to include the date and time and your name, signature and role.</w:t>
      </w:r>
    </w:p>
    <w:p w14:paraId="1533957A" w14:textId="77777777" w:rsidR="009B1B60" w:rsidRPr="00976982" w:rsidRDefault="009B1B60" w:rsidP="00A37479">
      <w:pPr>
        <w:pStyle w:val="Heading2"/>
      </w:pPr>
      <w:r w:rsidRPr="00976982">
        <w:t>Contact the appropriate person at Healthwatch Sutton</w:t>
      </w:r>
    </w:p>
    <w:tbl>
      <w:tblPr>
        <w:tblStyle w:val="TableGrid"/>
        <w:tblW w:w="0" w:type="auto"/>
        <w:tblInd w:w="720" w:type="dxa"/>
        <w:tblLook w:val="04A0" w:firstRow="1" w:lastRow="0" w:firstColumn="1" w:lastColumn="0" w:noHBand="0" w:noVBand="1"/>
      </w:tblPr>
      <w:tblGrid>
        <w:gridCol w:w="4454"/>
        <w:gridCol w:w="4454"/>
      </w:tblGrid>
      <w:tr w:rsidR="009B1B60" w:rsidRPr="00976982" w14:paraId="6D5958E3" w14:textId="77777777" w:rsidTr="00A37479">
        <w:tc>
          <w:tcPr>
            <w:tcW w:w="4567" w:type="dxa"/>
          </w:tcPr>
          <w:p w14:paraId="76FA2110" w14:textId="77777777" w:rsidR="009B1B60" w:rsidRPr="00A37479" w:rsidRDefault="009B1B60" w:rsidP="00610462">
            <w:pPr>
              <w:rPr>
                <w:b/>
                <w:bCs/>
              </w:rPr>
            </w:pPr>
            <w:r w:rsidRPr="00A37479">
              <w:rPr>
                <w:b/>
                <w:bCs/>
              </w:rPr>
              <w:t>Situation</w:t>
            </w:r>
          </w:p>
        </w:tc>
        <w:tc>
          <w:tcPr>
            <w:tcW w:w="4567" w:type="dxa"/>
          </w:tcPr>
          <w:p w14:paraId="74D36868" w14:textId="77777777" w:rsidR="009B1B60" w:rsidRPr="00A37479" w:rsidRDefault="009B1B60" w:rsidP="00610462">
            <w:pPr>
              <w:rPr>
                <w:b/>
                <w:bCs/>
              </w:rPr>
            </w:pPr>
            <w:r w:rsidRPr="00A37479">
              <w:rPr>
                <w:b/>
                <w:bCs/>
              </w:rPr>
              <w:t>Who to contact</w:t>
            </w:r>
          </w:p>
        </w:tc>
      </w:tr>
      <w:tr w:rsidR="009B1B60" w:rsidRPr="00976982" w14:paraId="1F10ED7F" w14:textId="77777777" w:rsidTr="00A37479">
        <w:tc>
          <w:tcPr>
            <w:tcW w:w="4567" w:type="dxa"/>
          </w:tcPr>
          <w:p w14:paraId="17B3E717" w14:textId="1E464141" w:rsidR="009B1B60" w:rsidRPr="00976982" w:rsidRDefault="00092746" w:rsidP="00610462">
            <w:r>
              <w:t>S</w:t>
            </w:r>
            <w:r w:rsidR="009B1B60" w:rsidRPr="00976982">
              <w:t>uspicion or allegation against a Healthwatch Sutton staff member, trustee or volunteer</w:t>
            </w:r>
          </w:p>
        </w:tc>
        <w:tc>
          <w:tcPr>
            <w:tcW w:w="4567" w:type="dxa"/>
          </w:tcPr>
          <w:p w14:paraId="6BB5231D" w14:textId="6C6D1873" w:rsidR="009B1B60" w:rsidRPr="00976982" w:rsidRDefault="009B1B60" w:rsidP="00610462">
            <w:r w:rsidRPr="00976982">
              <w:t>Healthwatch Sutton CEO who will liaise with the Safeguarding Lead and Chair</w:t>
            </w:r>
          </w:p>
        </w:tc>
      </w:tr>
      <w:tr w:rsidR="009B1B60" w:rsidRPr="00976982" w14:paraId="13E6D969" w14:textId="77777777" w:rsidTr="00A37479">
        <w:tc>
          <w:tcPr>
            <w:tcW w:w="4567" w:type="dxa"/>
          </w:tcPr>
          <w:p w14:paraId="6773F295" w14:textId="68B61EF1" w:rsidR="009B1B60" w:rsidRPr="00976982" w:rsidRDefault="00092746" w:rsidP="00610462">
            <w:r>
              <w:t>S</w:t>
            </w:r>
            <w:r w:rsidR="009B1B60" w:rsidRPr="00976982">
              <w:t>uspicion or allegation against Healthwatch Sutton CEO</w:t>
            </w:r>
          </w:p>
        </w:tc>
        <w:tc>
          <w:tcPr>
            <w:tcW w:w="4567" w:type="dxa"/>
          </w:tcPr>
          <w:p w14:paraId="662E28FA" w14:textId="304FF5DB" w:rsidR="009B1B60" w:rsidRPr="00976982" w:rsidRDefault="009B1B60" w:rsidP="00610462">
            <w:r w:rsidRPr="00976982">
              <w:t>Chair of Healthwatch Sutton</w:t>
            </w:r>
          </w:p>
        </w:tc>
      </w:tr>
      <w:tr w:rsidR="009B1B60" w:rsidRPr="00976982" w14:paraId="3339A0EE" w14:textId="77777777" w:rsidTr="00A37479">
        <w:tc>
          <w:tcPr>
            <w:tcW w:w="4567" w:type="dxa"/>
          </w:tcPr>
          <w:p w14:paraId="1A2F5BC7" w14:textId="77777777" w:rsidR="009B1B60" w:rsidRPr="00976982" w:rsidRDefault="009B1B60" w:rsidP="00610462">
            <w:r w:rsidRPr="00976982">
              <w:t>All other instances</w:t>
            </w:r>
          </w:p>
        </w:tc>
        <w:tc>
          <w:tcPr>
            <w:tcW w:w="4567" w:type="dxa"/>
          </w:tcPr>
          <w:p w14:paraId="25E09179" w14:textId="069792A0" w:rsidR="009B1B60" w:rsidRPr="00976982" w:rsidRDefault="009B1B60" w:rsidP="00610462">
            <w:r w:rsidRPr="00976982">
              <w:t>Healthwatch Sutton Safeguarding Lead</w:t>
            </w:r>
          </w:p>
        </w:tc>
      </w:tr>
      <w:tr w:rsidR="009B1B60" w:rsidRPr="00976982" w14:paraId="3804024B" w14:textId="77777777" w:rsidTr="00A37479">
        <w:tc>
          <w:tcPr>
            <w:tcW w:w="4567" w:type="dxa"/>
          </w:tcPr>
          <w:p w14:paraId="44DF995C" w14:textId="4E1A9258" w:rsidR="009B1B60" w:rsidRPr="00976982" w:rsidRDefault="00092746" w:rsidP="00610462">
            <w:r>
              <w:t>I</w:t>
            </w:r>
            <w:r w:rsidR="009B1B60" w:rsidRPr="00976982">
              <w:t>f the Safeguarding Lead is unavailable</w:t>
            </w:r>
          </w:p>
        </w:tc>
        <w:tc>
          <w:tcPr>
            <w:tcW w:w="4567" w:type="dxa"/>
          </w:tcPr>
          <w:p w14:paraId="510B4286" w14:textId="7FE0C336" w:rsidR="009B1B60" w:rsidRPr="00976982" w:rsidRDefault="009B1B60" w:rsidP="00610462">
            <w:r w:rsidRPr="00976982">
              <w:t>Healthwatch Sutton Deputy Safeguarding Lead</w:t>
            </w:r>
          </w:p>
        </w:tc>
      </w:tr>
      <w:tr w:rsidR="009B1B60" w:rsidRPr="00976982" w14:paraId="4C1373F3" w14:textId="77777777" w:rsidTr="00A37479">
        <w:tc>
          <w:tcPr>
            <w:tcW w:w="4567" w:type="dxa"/>
          </w:tcPr>
          <w:p w14:paraId="0CD8DB81" w14:textId="77777777" w:rsidR="009B1B60" w:rsidRPr="00976982" w:rsidRDefault="009B1B60" w:rsidP="00610462">
            <w:r w:rsidRPr="00976982">
              <w:t xml:space="preserve">In the unlikely event that neither of the above is available </w:t>
            </w:r>
          </w:p>
        </w:tc>
        <w:tc>
          <w:tcPr>
            <w:tcW w:w="4567" w:type="dxa"/>
          </w:tcPr>
          <w:p w14:paraId="766998AF" w14:textId="77777777" w:rsidR="009B1B60" w:rsidRPr="00976982" w:rsidRDefault="009B1B60" w:rsidP="00610462">
            <w:r w:rsidRPr="00976982">
              <w:t>Healthwatch Sutton CEO or Chair</w:t>
            </w:r>
          </w:p>
        </w:tc>
      </w:tr>
    </w:tbl>
    <w:p w14:paraId="43EC7E53" w14:textId="77777777" w:rsidR="00516F31" w:rsidRPr="00976982" w:rsidRDefault="00516F31" w:rsidP="00FF5A37"/>
    <w:p w14:paraId="23E79535" w14:textId="1A4164A2" w:rsidR="00516F31" w:rsidRPr="00976982" w:rsidRDefault="00516F31" w:rsidP="00976982">
      <w:pPr>
        <w:pStyle w:val="ListParagraph"/>
        <w:numPr>
          <w:ilvl w:val="0"/>
          <w:numId w:val="4"/>
        </w:numPr>
      </w:pPr>
      <w:r w:rsidRPr="00976982">
        <w:t xml:space="preserve">Contact numbers can be found </w:t>
      </w:r>
      <w:r w:rsidR="00FF5A37">
        <w:t xml:space="preserve">in </w:t>
      </w:r>
      <w:r w:rsidR="00FF5A37">
        <w:rPr>
          <w:b/>
          <w:bCs/>
        </w:rPr>
        <w:t xml:space="preserve">Appendix </w:t>
      </w:r>
      <w:r w:rsidR="00EE5FFD">
        <w:rPr>
          <w:b/>
          <w:bCs/>
        </w:rPr>
        <w:t>5</w:t>
      </w:r>
      <w:r w:rsidR="00D4434C">
        <w:t xml:space="preserve"> of this policy.</w:t>
      </w:r>
      <w:r w:rsidR="00FF5A37" w:rsidRPr="00976982">
        <w:t xml:space="preserve"> </w:t>
      </w:r>
    </w:p>
    <w:p w14:paraId="12B6AB8B" w14:textId="38CCE1A4" w:rsidR="00332886" w:rsidRPr="00976982" w:rsidRDefault="00332886" w:rsidP="00976982">
      <w:pPr>
        <w:pStyle w:val="ListParagraph"/>
        <w:numPr>
          <w:ilvl w:val="0"/>
          <w:numId w:val="4"/>
        </w:numPr>
      </w:pPr>
      <w:r w:rsidRPr="00976982">
        <w:t>Ensure that once the information has been passed on</w:t>
      </w:r>
      <w:r w:rsidR="002C7241" w:rsidRPr="00976982">
        <w:t xml:space="preserve"> and stored securely by Healthwatch Sutton</w:t>
      </w:r>
      <w:r w:rsidR="007C3A7E" w:rsidRPr="00976982">
        <w:t>, any documents related to the suspicion or allegation are</w:t>
      </w:r>
      <w:r w:rsidRPr="00976982">
        <w:t xml:space="preserve"> deleted </w:t>
      </w:r>
      <w:r w:rsidR="002C7241" w:rsidRPr="00976982">
        <w:t xml:space="preserve">from your own device(s) </w:t>
      </w:r>
      <w:r w:rsidRPr="00976982">
        <w:t>in line with UK GDPR</w:t>
      </w:r>
      <w:r w:rsidR="002C7241" w:rsidRPr="00976982">
        <w:t xml:space="preserve"> </w:t>
      </w:r>
    </w:p>
    <w:p w14:paraId="0B11F1B9" w14:textId="61A9D0C2" w:rsidR="0037244A" w:rsidRPr="00976982" w:rsidRDefault="00E55376" w:rsidP="00CF49DD">
      <w:pPr>
        <w:pStyle w:val="Heading2"/>
      </w:pPr>
      <w:bookmarkStart w:id="15" w:name="_Toc119494589"/>
      <w:r w:rsidRPr="00976982">
        <w:t>Role of the Healthwatch Sutton Safeguarding Lead</w:t>
      </w:r>
      <w:bookmarkEnd w:id="15"/>
    </w:p>
    <w:p w14:paraId="3660D4CD" w14:textId="6CE7758B" w:rsidR="00B21892" w:rsidRPr="00976982" w:rsidRDefault="00B21892" w:rsidP="00976982">
      <w:pPr>
        <w:pStyle w:val="ListParagraph"/>
        <w:numPr>
          <w:ilvl w:val="0"/>
          <w:numId w:val="12"/>
        </w:numPr>
      </w:pPr>
      <w:r w:rsidRPr="00976982">
        <w:t>Listen to the concern and read what has been documented</w:t>
      </w:r>
      <w:r w:rsidR="00417DB4" w:rsidRPr="00976982">
        <w:t xml:space="preserve"> by the staff member or volunteer</w:t>
      </w:r>
    </w:p>
    <w:p w14:paraId="06955015" w14:textId="3678858C" w:rsidR="001D1604" w:rsidRPr="00976982" w:rsidRDefault="001D1604" w:rsidP="00976982">
      <w:pPr>
        <w:pStyle w:val="ListParagraph"/>
        <w:numPr>
          <w:ilvl w:val="0"/>
          <w:numId w:val="12"/>
        </w:numPr>
      </w:pPr>
      <w:r w:rsidRPr="00976982">
        <w:t>Check that any steps needed to ensure that the at-risk individual is safe in the immediate term have been taken, and that their wishes have been sought and documented if possible</w:t>
      </w:r>
    </w:p>
    <w:p w14:paraId="1045DD9F" w14:textId="1DE7FF1D" w:rsidR="00B21892" w:rsidRPr="00976982" w:rsidRDefault="00417DB4" w:rsidP="00976982">
      <w:pPr>
        <w:pStyle w:val="ListParagraph"/>
        <w:numPr>
          <w:ilvl w:val="0"/>
          <w:numId w:val="12"/>
        </w:numPr>
      </w:pPr>
      <w:r w:rsidRPr="00976982">
        <w:t>Decide</w:t>
      </w:r>
      <w:r w:rsidR="00B21892" w:rsidRPr="00976982">
        <w:t xml:space="preserve"> </w:t>
      </w:r>
      <w:r w:rsidRPr="00976982">
        <w:t>whether</w:t>
      </w:r>
      <w:r w:rsidR="00B21892" w:rsidRPr="00976982">
        <w:t xml:space="preserve"> to make a referral</w:t>
      </w:r>
      <w:r w:rsidRPr="00976982">
        <w:t>, seeking advice if needed, and t</w:t>
      </w:r>
      <w:r w:rsidR="00B21892" w:rsidRPr="00976982">
        <w:t>aking account of</w:t>
      </w:r>
    </w:p>
    <w:p w14:paraId="48485441" w14:textId="204D0EF3" w:rsidR="00B21892" w:rsidRPr="00976982" w:rsidRDefault="00B21892" w:rsidP="00976982">
      <w:pPr>
        <w:pStyle w:val="ListParagraph"/>
        <w:numPr>
          <w:ilvl w:val="1"/>
          <w:numId w:val="12"/>
        </w:numPr>
      </w:pPr>
      <w:r w:rsidRPr="00976982">
        <w:t xml:space="preserve">The </w:t>
      </w:r>
      <w:r w:rsidR="00417DB4" w:rsidRPr="00976982">
        <w:t>individual adult’s</w:t>
      </w:r>
      <w:r w:rsidRPr="00976982">
        <w:t xml:space="preserve"> wishes insofar as these are known, and whethe</w:t>
      </w:r>
      <w:r w:rsidR="00417DB4" w:rsidRPr="00976982">
        <w:t>r they have</w:t>
      </w:r>
      <w:r w:rsidRPr="00976982">
        <w:t xml:space="preserve"> given </w:t>
      </w:r>
      <w:r w:rsidR="00417DB4" w:rsidRPr="00976982">
        <w:t xml:space="preserve">consent </w:t>
      </w:r>
      <w:r w:rsidRPr="00976982">
        <w:t>for a referral to be made</w:t>
      </w:r>
    </w:p>
    <w:p w14:paraId="6617B86A" w14:textId="00E63F2C" w:rsidR="00B21892" w:rsidRPr="00976982" w:rsidRDefault="00B21892" w:rsidP="00976982">
      <w:pPr>
        <w:pStyle w:val="ListParagraph"/>
        <w:numPr>
          <w:ilvl w:val="1"/>
          <w:numId w:val="12"/>
        </w:numPr>
      </w:pPr>
      <w:r w:rsidRPr="00976982">
        <w:t xml:space="preserve">If consent has been withheld, whether the situation justifies over-riding this </w:t>
      </w:r>
    </w:p>
    <w:p w14:paraId="6D137963" w14:textId="1CD092AA" w:rsidR="00417DB4" w:rsidRPr="00976982" w:rsidRDefault="00417DB4" w:rsidP="00976982">
      <w:pPr>
        <w:pStyle w:val="ListParagraph"/>
        <w:numPr>
          <w:ilvl w:val="0"/>
          <w:numId w:val="12"/>
        </w:numPr>
      </w:pPr>
      <w:r w:rsidRPr="00976982">
        <w:t>If making a referral, do so promptly</w:t>
      </w:r>
    </w:p>
    <w:p w14:paraId="0613DD45" w14:textId="2F43760A" w:rsidR="00417DB4" w:rsidRPr="00976982" w:rsidRDefault="00417DB4" w:rsidP="00976982">
      <w:pPr>
        <w:pStyle w:val="ListParagraph"/>
        <w:numPr>
          <w:ilvl w:val="0"/>
          <w:numId w:val="12"/>
        </w:numPr>
      </w:pPr>
      <w:r w:rsidRPr="00976982">
        <w:t xml:space="preserve">Support the staff member or volunteer </w:t>
      </w:r>
      <w:r w:rsidR="00411030" w:rsidRPr="00976982">
        <w:t>who raised the concern</w:t>
      </w:r>
    </w:p>
    <w:p w14:paraId="29CB58DD" w14:textId="6797742D" w:rsidR="00DA1002" w:rsidRPr="00976982" w:rsidRDefault="00B21892" w:rsidP="00976982">
      <w:pPr>
        <w:pStyle w:val="ListParagraph"/>
        <w:numPr>
          <w:ilvl w:val="0"/>
          <w:numId w:val="12"/>
        </w:numPr>
      </w:pPr>
      <w:r w:rsidRPr="00976982">
        <w:t>Report to Healthwatch England.  They only need to know that a safeguarding concern has been reported.</w:t>
      </w:r>
    </w:p>
    <w:p w14:paraId="640CE620" w14:textId="324996F8" w:rsidR="00DA1002" w:rsidRPr="00976982" w:rsidRDefault="00DA1002" w:rsidP="00A33CBB">
      <w:pPr>
        <w:pStyle w:val="Heading1"/>
      </w:pPr>
      <w:bookmarkStart w:id="16" w:name="_Toc119494590"/>
      <w:r w:rsidRPr="00976982">
        <w:lastRenderedPageBreak/>
        <w:t>Allegations against a member of staff, trustee or volunteer</w:t>
      </w:r>
      <w:bookmarkEnd w:id="16"/>
    </w:p>
    <w:p w14:paraId="4C317B0A" w14:textId="7FB323B7" w:rsidR="00DA1002" w:rsidRPr="00976982" w:rsidRDefault="00DA1002" w:rsidP="00976982">
      <w:r w:rsidRPr="00976982">
        <w:t>The organisation will fully support and protect anyone, who in good faith, reports their concern that a colleague is, or may be, abusing an adult.  Where there is a complaint against a member of staff, director or volunteer, there may be three types of investigation: criminal investigation, adult at risk investigation, disciplinary/misconduct investigation.  The results of any police or adult at risk investigation may influence the disciplinary investigation, but this is not necessarily the case.</w:t>
      </w:r>
    </w:p>
    <w:p w14:paraId="096C1F9A" w14:textId="791CE1BC" w:rsidR="007C3A7E" w:rsidRPr="00976982" w:rsidRDefault="00411030" w:rsidP="00CF49DD">
      <w:pPr>
        <w:pStyle w:val="Heading2"/>
      </w:pPr>
      <w:bookmarkStart w:id="17" w:name="_Toc119494591"/>
      <w:r w:rsidRPr="00976982">
        <w:t xml:space="preserve">Role of </w:t>
      </w:r>
      <w:r w:rsidR="00296723" w:rsidRPr="00976982">
        <w:t xml:space="preserve">the </w:t>
      </w:r>
      <w:r w:rsidRPr="00976982">
        <w:t>CE</w:t>
      </w:r>
      <w:r w:rsidR="00EC6C19" w:rsidRPr="00976982">
        <w:t>O</w:t>
      </w:r>
      <w:bookmarkEnd w:id="17"/>
    </w:p>
    <w:p w14:paraId="4CA27C68" w14:textId="713D7E97" w:rsidR="00904241" w:rsidRPr="00976982" w:rsidRDefault="00DD4E00" w:rsidP="00976982">
      <w:r w:rsidRPr="00976982">
        <w:t>T</w:t>
      </w:r>
      <w:r w:rsidR="00296723" w:rsidRPr="00976982">
        <w:t xml:space="preserve">he CEO, </w:t>
      </w:r>
      <w:r w:rsidR="00904241" w:rsidRPr="00976982">
        <w:t>working closely with the Chair</w:t>
      </w:r>
      <w:r w:rsidR="00C52D6F" w:rsidRPr="00976982">
        <w:t xml:space="preserve"> and Safeguarding Lead</w:t>
      </w:r>
      <w:r w:rsidRPr="00976982">
        <w:t xml:space="preserve"> will</w:t>
      </w:r>
    </w:p>
    <w:p w14:paraId="2155E67D" w14:textId="25EAC321" w:rsidR="00904241" w:rsidRPr="00976982" w:rsidRDefault="00904241" w:rsidP="00976982">
      <w:pPr>
        <w:pStyle w:val="ListParagraph"/>
        <w:numPr>
          <w:ilvl w:val="0"/>
          <w:numId w:val="37"/>
        </w:numPr>
      </w:pPr>
      <w:r w:rsidRPr="00976982">
        <w:t xml:space="preserve">Make </w:t>
      </w:r>
      <w:r w:rsidR="00DA1002" w:rsidRPr="00976982">
        <w:t>an immediate decision</w:t>
      </w:r>
      <w:r w:rsidRPr="00976982">
        <w:t xml:space="preserve"> about </w:t>
      </w:r>
      <w:r w:rsidR="00DA1002" w:rsidRPr="00976982">
        <w:t xml:space="preserve">whether a temporary </w:t>
      </w:r>
      <w:r w:rsidRPr="00976982">
        <w:t xml:space="preserve">suspension </w:t>
      </w:r>
      <w:r w:rsidR="00DA1002" w:rsidRPr="00976982">
        <w:t xml:space="preserve">is required </w:t>
      </w:r>
      <w:r w:rsidRPr="00976982">
        <w:t>and implement as needed</w:t>
      </w:r>
    </w:p>
    <w:p w14:paraId="4DA26F8D" w14:textId="63FFCB6A" w:rsidR="00904241" w:rsidRPr="00976982" w:rsidRDefault="00904241" w:rsidP="00976982">
      <w:pPr>
        <w:pStyle w:val="ListParagraph"/>
        <w:numPr>
          <w:ilvl w:val="0"/>
          <w:numId w:val="37"/>
        </w:numPr>
      </w:pPr>
      <w:r w:rsidRPr="00976982">
        <w:t xml:space="preserve">Ensure appropriate investigations </w:t>
      </w:r>
      <w:r w:rsidR="00DA1002" w:rsidRPr="00976982">
        <w:t xml:space="preserve">(police, social services, internal) </w:t>
      </w:r>
      <w:r w:rsidRPr="00976982">
        <w:t>are put in place</w:t>
      </w:r>
    </w:p>
    <w:p w14:paraId="213A6A34" w14:textId="3C1DCE97" w:rsidR="00904241" w:rsidRPr="00976982" w:rsidRDefault="00DA1002" w:rsidP="00976982">
      <w:pPr>
        <w:pStyle w:val="ListParagraph"/>
        <w:numPr>
          <w:ilvl w:val="0"/>
          <w:numId w:val="37"/>
        </w:numPr>
      </w:pPr>
      <w:r w:rsidRPr="00976982">
        <w:t>Take the lead on any internal investigation</w:t>
      </w:r>
    </w:p>
    <w:p w14:paraId="5E8B54BD" w14:textId="167A32DC" w:rsidR="00DA1002" w:rsidRPr="00976982" w:rsidRDefault="00DA1002" w:rsidP="00976982">
      <w:pPr>
        <w:pStyle w:val="ListParagraph"/>
        <w:numPr>
          <w:ilvl w:val="0"/>
          <w:numId w:val="37"/>
        </w:numPr>
      </w:pPr>
      <w:r w:rsidRPr="00976982">
        <w:t>Review the outcomes of the investigations and, in consultation with the Board, decide whether the staff member, volunteer or trustee can be reinstated</w:t>
      </w:r>
    </w:p>
    <w:p w14:paraId="68FDE4FB" w14:textId="70B39B6B" w:rsidR="00DA1002" w:rsidRPr="00976982" w:rsidRDefault="00DA1002" w:rsidP="00976982">
      <w:pPr>
        <w:pStyle w:val="ListParagraph"/>
        <w:numPr>
          <w:ilvl w:val="0"/>
          <w:numId w:val="37"/>
        </w:numPr>
      </w:pPr>
      <w:r w:rsidRPr="00976982">
        <w:t>Ensure all the above actions are handled sensitively</w:t>
      </w:r>
      <w:r w:rsidR="00DD4E00" w:rsidRPr="00976982">
        <w:t>, with the safety and protection of adults at risk remaining of paramount importance</w:t>
      </w:r>
    </w:p>
    <w:p w14:paraId="203CC51B" w14:textId="491685EA" w:rsidR="007C3A7E" w:rsidRPr="00976982" w:rsidRDefault="0020722C" w:rsidP="00A33CBB">
      <w:pPr>
        <w:pStyle w:val="Heading1"/>
      </w:pPr>
      <w:bookmarkStart w:id="18" w:name="_Toc119494592"/>
      <w:r w:rsidRPr="00976982">
        <w:lastRenderedPageBreak/>
        <w:t>Information sharing, confidentiality and documentation</w:t>
      </w:r>
      <w:bookmarkEnd w:id="18"/>
    </w:p>
    <w:p w14:paraId="5E8FFFD8" w14:textId="76013741" w:rsidR="007C3A7E" w:rsidRPr="00976982" w:rsidRDefault="003165D5" w:rsidP="00976982">
      <w:pPr>
        <w:pStyle w:val="ListParagraph"/>
        <w:numPr>
          <w:ilvl w:val="0"/>
          <w:numId w:val="38"/>
        </w:numPr>
      </w:pPr>
      <w:r w:rsidRPr="00976982">
        <w:t xml:space="preserve">Staff, trustees and volunteers have a responsibility to share relevant information on a ‘need to know’ basis </w:t>
      </w:r>
      <w:r w:rsidR="00E2341A" w:rsidRPr="00976982">
        <w:t>so that the adult safeguarding teams can investigate concerns and take steps to</w:t>
      </w:r>
      <w:r w:rsidRPr="00976982">
        <w:t xml:space="preserve"> protect the safety and wellbeing of adults who are not in a position to be able to protect themselves. </w:t>
      </w:r>
    </w:p>
    <w:p w14:paraId="27B19FDE" w14:textId="2E03534F" w:rsidR="00E2341A" w:rsidRPr="00976982" w:rsidRDefault="00E2341A" w:rsidP="00976982">
      <w:pPr>
        <w:pStyle w:val="ListParagraph"/>
        <w:numPr>
          <w:ilvl w:val="0"/>
          <w:numId w:val="38"/>
        </w:numPr>
      </w:pPr>
      <w:r w:rsidRPr="00976982">
        <w:t>Where possible, consent for information sharing should be obtained</w:t>
      </w:r>
      <w:r w:rsidR="00F06069" w:rsidRPr="00976982">
        <w:t>, but the safety of the individual should always be the overriding concern.</w:t>
      </w:r>
    </w:p>
    <w:p w14:paraId="584B6ADE" w14:textId="586E52D0" w:rsidR="00E2341A" w:rsidRPr="00976982" w:rsidRDefault="00E2341A" w:rsidP="00976982">
      <w:pPr>
        <w:pStyle w:val="ListParagraph"/>
        <w:numPr>
          <w:ilvl w:val="0"/>
          <w:numId w:val="38"/>
        </w:numPr>
      </w:pPr>
      <w:r w:rsidRPr="00976982">
        <w:t>All personal information about the individual involved will be treated as confidential, and not disclosed other than to alert the relevant agencies as above. Written records will be stored securely for a specific time in line with UK GDPR guidance.</w:t>
      </w:r>
    </w:p>
    <w:p w14:paraId="38B7A7EA" w14:textId="74D39881" w:rsidR="00BF4CAD" w:rsidRPr="00976982" w:rsidRDefault="00BF4CAD" w:rsidP="00BE4C46">
      <w:pPr>
        <w:pStyle w:val="ListParagraph"/>
        <w:numPr>
          <w:ilvl w:val="0"/>
          <w:numId w:val="38"/>
        </w:numPr>
      </w:pPr>
      <w:r w:rsidRPr="00976982">
        <w:t xml:space="preserve">Information sharing decisions will be guided by the seven </w:t>
      </w:r>
      <w:r w:rsidR="00E11B33">
        <w:t>“golden rules”</w:t>
      </w:r>
      <w:r w:rsidRPr="00976982">
        <w:t xml:space="preserve"> set out in the</w:t>
      </w:r>
      <w:r w:rsidR="00C37CA9">
        <w:t xml:space="preserve"> government</w:t>
      </w:r>
      <w:r w:rsidRPr="00976982">
        <w:t xml:space="preserve"> </w:t>
      </w:r>
      <w:r w:rsidR="00820C9F">
        <w:t xml:space="preserve">document </w:t>
      </w:r>
      <w:r w:rsidR="00C37CA9" w:rsidRPr="00820C9F">
        <w:rPr>
          <w:b/>
          <w:bCs/>
        </w:rPr>
        <w:t xml:space="preserve">Information </w:t>
      </w:r>
      <w:r w:rsidR="00820C9F" w:rsidRPr="00820C9F">
        <w:rPr>
          <w:b/>
          <w:bCs/>
        </w:rPr>
        <w:t>s</w:t>
      </w:r>
      <w:r w:rsidR="00C37CA9" w:rsidRPr="00820C9F">
        <w:rPr>
          <w:b/>
          <w:bCs/>
        </w:rPr>
        <w:t>haring</w:t>
      </w:r>
      <w:r w:rsidR="00820C9F" w:rsidRPr="00820C9F">
        <w:rPr>
          <w:b/>
          <w:bCs/>
        </w:rPr>
        <w:t>:</w:t>
      </w:r>
      <w:r w:rsidR="00C37CA9" w:rsidRPr="00820C9F">
        <w:rPr>
          <w:b/>
          <w:bCs/>
        </w:rPr>
        <w:t xml:space="preserve"> Advice for practitioners providing safeguarding services to children, young people, parents and carers</w:t>
      </w:r>
      <w:r w:rsidRPr="00976982">
        <w:t>:</w:t>
      </w:r>
      <w:r w:rsidR="00BE4C46">
        <w:br/>
      </w:r>
    </w:p>
    <w:p w14:paraId="0D42D8DA" w14:textId="77777777" w:rsidR="00536057" w:rsidRDefault="00BE4C46" w:rsidP="00BE4C46">
      <w:pPr>
        <w:pStyle w:val="ListParagraph"/>
        <w:numPr>
          <w:ilvl w:val="0"/>
          <w:numId w:val="46"/>
        </w:numPr>
        <w:ind w:left="1080"/>
      </w:pPr>
      <w:r>
        <w:t>Remember that the General Data Protection Regulation (GDPR), Data Protection Act 2018 and human rights law are not barriers to justified information sharing, but provide a framework to ensure that personal information about living individuals is shared appropriately.</w:t>
      </w:r>
    </w:p>
    <w:p w14:paraId="74BAD840" w14:textId="77777777" w:rsidR="00536057" w:rsidRDefault="00BE4C46" w:rsidP="00BE4C46">
      <w:pPr>
        <w:pStyle w:val="ListParagraph"/>
        <w:numPr>
          <w:ilvl w:val="0"/>
          <w:numId w:val="46"/>
        </w:numPr>
        <w:ind w:left="1080"/>
      </w:pPr>
      <w:r>
        <w:t>Be open and honest with the individual (and/or their family where appropriate) from the outset about why, what, how and with whom information will, or could be shared, and seek their agreement, unless it is unsafe or inappropriate to do so.</w:t>
      </w:r>
    </w:p>
    <w:p w14:paraId="5C7336A2" w14:textId="77777777" w:rsidR="00536057" w:rsidRDefault="00BE4C46" w:rsidP="00BE4C46">
      <w:pPr>
        <w:pStyle w:val="ListParagraph"/>
        <w:numPr>
          <w:ilvl w:val="0"/>
          <w:numId w:val="46"/>
        </w:numPr>
        <w:ind w:left="1080"/>
      </w:pPr>
      <w:r>
        <w:t>Seek advice from other practitioners, or your information governance lead, if you are in any doubt about sharing the information concerned, without disclosing the</w:t>
      </w:r>
      <w:r w:rsidR="00536057">
        <w:t xml:space="preserve"> </w:t>
      </w:r>
      <w:r>
        <w:t>identity of the individual where possible.</w:t>
      </w:r>
    </w:p>
    <w:p w14:paraId="46AE72EE" w14:textId="77777777" w:rsidR="00826912" w:rsidRDefault="00BE4C46" w:rsidP="00BE4C46">
      <w:pPr>
        <w:pStyle w:val="ListParagraph"/>
        <w:numPr>
          <w:ilvl w:val="0"/>
          <w:numId w:val="46"/>
        </w:numPr>
        <w:ind w:left="1080"/>
      </w:pPr>
      <w:r>
        <w:t>Where possible, share information with consent, and where possible, respect the wishes of those who do not consent to having their information shared. Under the GDPR and Data Protection Act 2018 you may share information without consent if, in your judgement, there is a lawful basis to do so, such as where safety may be at risk. You will need to base your judgement on the facts of the case. When you are sharing or requesting personal information from someone, be clear of the basis upon which you are doing so. Where you do not have consent, be mindful that an individual might not expect information to be shared.</w:t>
      </w:r>
    </w:p>
    <w:p w14:paraId="37AE82A4" w14:textId="77777777" w:rsidR="00C731CF" w:rsidRDefault="00BE4C46" w:rsidP="00BE4C46">
      <w:pPr>
        <w:pStyle w:val="ListParagraph"/>
        <w:numPr>
          <w:ilvl w:val="0"/>
          <w:numId w:val="46"/>
        </w:numPr>
        <w:ind w:left="1080"/>
      </w:pPr>
      <w:r>
        <w:t>Consider safety and well-being: base your information sharing decisions on considerations of the safety and well-being of the individual and others who may be affected by their actions.</w:t>
      </w:r>
    </w:p>
    <w:p w14:paraId="2633F47F" w14:textId="77777777" w:rsidR="00C731CF" w:rsidRDefault="00BE4C46" w:rsidP="00BE4C46">
      <w:pPr>
        <w:pStyle w:val="ListParagraph"/>
        <w:numPr>
          <w:ilvl w:val="0"/>
          <w:numId w:val="46"/>
        </w:numPr>
        <w:ind w:left="1080"/>
      </w:pPr>
      <w:r>
        <w:t xml:space="preserve">Necessary, proportionate, relevant, adequate, accurate, timely and secure: ensure that the information you share is necessary for the purpose for which you are sharing it, is shared only with those individuals who need to have it, is accurate and </w:t>
      </w:r>
      <w:proofErr w:type="spellStart"/>
      <w:r>
        <w:t>upto</w:t>
      </w:r>
      <w:proofErr w:type="spellEnd"/>
      <w:r>
        <w:t>-date, is shared in a timely fashion, and is shared securely (see principles).</w:t>
      </w:r>
    </w:p>
    <w:p w14:paraId="401EECE1" w14:textId="093AAA2E" w:rsidR="003165D5" w:rsidRPr="00976982" w:rsidRDefault="00BE4C46" w:rsidP="00BE4C46">
      <w:pPr>
        <w:pStyle w:val="ListParagraph"/>
        <w:numPr>
          <w:ilvl w:val="0"/>
          <w:numId w:val="46"/>
        </w:numPr>
        <w:ind w:left="1080"/>
      </w:pPr>
      <w:r>
        <w:t>Keep a record of your decision and the reasons for it – whether it is to share information or not. If you decide to share, then record what you have shared, with whom and for what purpose</w:t>
      </w:r>
    </w:p>
    <w:p w14:paraId="138F6D24" w14:textId="4092E3A1" w:rsidR="007767D1" w:rsidRPr="00976982" w:rsidRDefault="007767D1" w:rsidP="00A33CBB">
      <w:pPr>
        <w:pStyle w:val="Heading1"/>
      </w:pPr>
      <w:bookmarkStart w:id="19" w:name="_Toc119494593"/>
      <w:r w:rsidRPr="00976982">
        <w:lastRenderedPageBreak/>
        <w:t xml:space="preserve">Safe </w:t>
      </w:r>
      <w:r w:rsidR="00E84976" w:rsidRPr="00976982">
        <w:t>r</w:t>
      </w:r>
      <w:r w:rsidRPr="00976982">
        <w:t>ecruitment</w:t>
      </w:r>
      <w:r w:rsidR="00397C62" w:rsidRPr="00976982">
        <w:t xml:space="preserve">, </w:t>
      </w:r>
      <w:r w:rsidR="00BC47C5" w:rsidRPr="00976982">
        <w:t xml:space="preserve">induction, </w:t>
      </w:r>
      <w:r w:rsidR="00397C62" w:rsidRPr="00976982">
        <w:t>training and supervision</w:t>
      </w:r>
      <w:bookmarkEnd w:id="19"/>
    </w:p>
    <w:p w14:paraId="51C99CDC" w14:textId="31ADBCF4" w:rsidR="00791A82" w:rsidRPr="00976982" w:rsidRDefault="00791A82" w:rsidP="00976982">
      <w:r w:rsidRPr="00976982">
        <w:t xml:space="preserve">Healthwatch Sutton operates procedures that take account of the need to safeguard </w:t>
      </w:r>
      <w:r w:rsidR="004F18EF" w:rsidRPr="00976982">
        <w:t>and promote safety and wellbeing, including arrangements for appropriate checks on volunteers.</w:t>
      </w:r>
    </w:p>
    <w:p w14:paraId="7136B8A6" w14:textId="3EBE7A5A" w:rsidR="00397C62" w:rsidRPr="00976982" w:rsidRDefault="00397C62" w:rsidP="00CF49DD">
      <w:pPr>
        <w:pStyle w:val="Heading2"/>
      </w:pPr>
      <w:bookmarkStart w:id="20" w:name="_Toc119494594"/>
      <w:r w:rsidRPr="00976982">
        <w:t>Recruitment</w:t>
      </w:r>
      <w:bookmarkEnd w:id="20"/>
    </w:p>
    <w:p w14:paraId="223C531F" w14:textId="78E5E19B" w:rsidR="00E079ED" w:rsidRPr="00976982" w:rsidRDefault="004F18EF" w:rsidP="00976982">
      <w:r w:rsidRPr="00976982">
        <w:t>The</w:t>
      </w:r>
      <w:r w:rsidR="002A5D36" w:rsidRPr="00976982">
        <w:t xml:space="preserve"> following procedures apply to all staff, trustees and volunteers unless otherwise stated:</w:t>
      </w:r>
    </w:p>
    <w:p w14:paraId="77DA2E14" w14:textId="15BD60A9" w:rsidR="00E079ED" w:rsidRPr="00976982" w:rsidRDefault="002A5D36" w:rsidP="00976982">
      <w:pPr>
        <w:pStyle w:val="ListParagraph"/>
        <w:numPr>
          <w:ilvl w:val="0"/>
          <w:numId w:val="31"/>
        </w:numPr>
      </w:pPr>
      <w:r w:rsidRPr="00976982">
        <w:t>A</w:t>
      </w:r>
      <w:r w:rsidR="003C417A" w:rsidRPr="00976982">
        <w:t>n</w:t>
      </w:r>
      <w:r w:rsidR="00E079ED" w:rsidRPr="00976982">
        <w:t xml:space="preserve"> identity check using the 3-route process </w:t>
      </w:r>
    </w:p>
    <w:p w14:paraId="0AFFA42E" w14:textId="44BCFEAF" w:rsidR="004F18EF" w:rsidRPr="00976982" w:rsidRDefault="002A5D36" w:rsidP="00976982">
      <w:pPr>
        <w:pStyle w:val="ListParagraph"/>
        <w:numPr>
          <w:ilvl w:val="0"/>
          <w:numId w:val="31"/>
        </w:numPr>
      </w:pPr>
      <w:r w:rsidRPr="00976982">
        <w:t xml:space="preserve">A </w:t>
      </w:r>
      <w:r w:rsidR="004F18EF" w:rsidRPr="00976982">
        <w:t>Disclosure and Barring Service (DBS) check</w:t>
      </w:r>
    </w:p>
    <w:p w14:paraId="6D43EC39" w14:textId="1C88179E" w:rsidR="004F18EF" w:rsidRPr="00976982" w:rsidRDefault="00397C62" w:rsidP="00976982">
      <w:pPr>
        <w:pStyle w:val="ListParagraph"/>
        <w:numPr>
          <w:ilvl w:val="0"/>
          <w:numId w:val="31"/>
        </w:numPr>
      </w:pPr>
      <w:r w:rsidRPr="00976982">
        <w:t>E</w:t>
      </w:r>
      <w:r w:rsidR="002A5D36" w:rsidRPr="00976982">
        <w:t xml:space="preserve">ncouragement to </w:t>
      </w:r>
      <w:r w:rsidR="00AB46C0" w:rsidRPr="00976982">
        <w:t>join the DBS update service</w:t>
      </w:r>
    </w:p>
    <w:p w14:paraId="7400DEB6" w14:textId="02E3BB74" w:rsidR="00AB46C0" w:rsidRPr="00976982" w:rsidRDefault="002A5D36" w:rsidP="00976982">
      <w:pPr>
        <w:pStyle w:val="ListParagraph"/>
        <w:numPr>
          <w:ilvl w:val="0"/>
          <w:numId w:val="31"/>
        </w:numPr>
      </w:pPr>
      <w:r w:rsidRPr="00976982">
        <w:t xml:space="preserve">A </w:t>
      </w:r>
      <w:r w:rsidR="00AB46C0" w:rsidRPr="00976982">
        <w:t xml:space="preserve">central record of dates and outcomes of DBS checks (stored securely </w:t>
      </w:r>
      <w:r w:rsidRPr="00976982">
        <w:t xml:space="preserve">and then deleted </w:t>
      </w:r>
      <w:r w:rsidR="00AB46C0" w:rsidRPr="00976982">
        <w:t>in line with UK GDPR)</w:t>
      </w:r>
    </w:p>
    <w:p w14:paraId="3519C901" w14:textId="713D196F" w:rsidR="006D238F" w:rsidRPr="00976982" w:rsidRDefault="002A5D36" w:rsidP="00976982">
      <w:pPr>
        <w:pStyle w:val="ListParagraph"/>
        <w:numPr>
          <w:ilvl w:val="0"/>
          <w:numId w:val="31"/>
        </w:numPr>
      </w:pPr>
      <w:r w:rsidRPr="00976982">
        <w:t>Any</w:t>
      </w:r>
      <w:r w:rsidR="006D238F" w:rsidRPr="00976982">
        <w:t xml:space="preserve"> concerns about the outcome of a DBS check </w:t>
      </w:r>
      <w:r w:rsidRPr="00976982">
        <w:t>to be</w:t>
      </w:r>
      <w:r w:rsidR="003C417A" w:rsidRPr="00976982">
        <w:t xml:space="preserve"> discussed with the Chair and</w:t>
      </w:r>
      <w:r w:rsidR="006D238F" w:rsidRPr="00976982">
        <w:t xml:space="preserve"> referred to an ad hoc sub-group of the Board</w:t>
      </w:r>
    </w:p>
    <w:p w14:paraId="0A64CE77" w14:textId="072643F2" w:rsidR="006D238F" w:rsidRPr="00976982" w:rsidRDefault="00397C62" w:rsidP="00976982">
      <w:pPr>
        <w:pStyle w:val="ListParagraph"/>
        <w:numPr>
          <w:ilvl w:val="0"/>
          <w:numId w:val="31"/>
        </w:numPr>
      </w:pPr>
      <w:r w:rsidRPr="00976982">
        <w:t>An interview</w:t>
      </w:r>
      <w:r w:rsidR="002A5D36" w:rsidRPr="00976982">
        <w:t xml:space="preserve"> with at least two appropriately trained interviewers</w:t>
      </w:r>
    </w:p>
    <w:p w14:paraId="50842232" w14:textId="03D02B15" w:rsidR="002A5D36" w:rsidRPr="00976982" w:rsidRDefault="002A5D36" w:rsidP="00976982">
      <w:pPr>
        <w:pStyle w:val="ListParagraph"/>
        <w:numPr>
          <w:ilvl w:val="0"/>
          <w:numId w:val="31"/>
        </w:numPr>
      </w:pPr>
      <w:r w:rsidRPr="00976982">
        <w:t>All trustee appointments reviewed by the Board</w:t>
      </w:r>
    </w:p>
    <w:p w14:paraId="6411721C" w14:textId="084D4649" w:rsidR="002A5D36" w:rsidRPr="00976982" w:rsidRDefault="002A5D36" w:rsidP="00976982">
      <w:pPr>
        <w:pStyle w:val="ListParagraph"/>
        <w:numPr>
          <w:ilvl w:val="0"/>
          <w:numId w:val="31"/>
        </w:numPr>
      </w:pPr>
      <w:r w:rsidRPr="00976982">
        <w:t>A clear job or role description</w:t>
      </w:r>
      <w:r w:rsidR="00397C62" w:rsidRPr="00976982">
        <w:t xml:space="preserve"> for all positions</w:t>
      </w:r>
      <w:r w:rsidRPr="00976982">
        <w:t xml:space="preserve"> and confirmation that the</w:t>
      </w:r>
      <w:r w:rsidR="00397C62" w:rsidRPr="00976982">
        <w:t xml:space="preserve"> individual </w:t>
      </w:r>
      <w:r w:rsidRPr="00976982">
        <w:t>meet</w:t>
      </w:r>
      <w:r w:rsidR="00397C62" w:rsidRPr="00976982">
        <w:t>s</w:t>
      </w:r>
      <w:r w:rsidRPr="00976982">
        <w:t xml:space="preserve"> the</w:t>
      </w:r>
      <w:r w:rsidR="00397C62" w:rsidRPr="00976982">
        <w:t xml:space="preserve"> person specification for the relevant post or role</w:t>
      </w:r>
    </w:p>
    <w:p w14:paraId="3F93C97D" w14:textId="36472A94" w:rsidR="002A5D36" w:rsidRPr="00976982" w:rsidRDefault="002A5D36" w:rsidP="00976982">
      <w:pPr>
        <w:pStyle w:val="ListParagraph"/>
        <w:numPr>
          <w:ilvl w:val="0"/>
          <w:numId w:val="31"/>
        </w:numPr>
      </w:pPr>
      <w:r w:rsidRPr="00976982">
        <w:t>Two references obtained and checked</w:t>
      </w:r>
    </w:p>
    <w:p w14:paraId="4C71BCB3" w14:textId="52B0D3D3" w:rsidR="00AB46C0" w:rsidRPr="00976982" w:rsidRDefault="00397C62" w:rsidP="00CF49DD">
      <w:pPr>
        <w:pStyle w:val="Heading2"/>
      </w:pPr>
      <w:bookmarkStart w:id="21" w:name="_Toc119494595"/>
      <w:r w:rsidRPr="00976982">
        <w:t>Induction</w:t>
      </w:r>
      <w:bookmarkEnd w:id="21"/>
    </w:p>
    <w:p w14:paraId="721D973E" w14:textId="5984FDA8" w:rsidR="00397C62" w:rsidRPr="00976982" w:rsidRDefault="00397C62" w:rsidP="00976982">
      <w:r w:rsidRPr="00976982">
        <w:t>Induction is an important part of the process and includes</w:t>
      </w:r>
    </w:p>
    <w:p w14:paraId="5E03EA2D" w14:textId="2BC84A99" w:rsidR="00397C62" w:rsidRPr="00976982" w:rsidRDefault="00397C62" w:rsidP="00976982">
      <w:pPr>
        <w:pStyle w:val="ListParagraph"/>
        <w:numPr>
          <w:ilvl w:val="0"/>
          <w:numId w:val="32"/>
        </w:numPr>
      </w:pPr>
      <w:r w:rsidRPr="00976982">
        <w:t>A discussion about safeguarding and how applies in their role</w:t>
      </w:r>
    </w:p>
    <w:p w14:paraId="3DE29245" w14:textId="6F2277F3" w:rsidR="00397C62" w:rsidRPr="00976982" w:rsidRDefault="00397C62" w:rsidP="00976982">
      <w:pPr>
        <w:pStyle w:val="ListParagraph"/>
        <w:numPr>
          <w:ilvl w:val="0"/>
          <w:numId w:val="32"/>
        </w:numPr>
      </w:pPr>
      <w:r w:rsidRPr="00976982">
        <w:t>Familiarisation with this policy and confirmation that they are clear about what to do and who to contact when any concerns arise</w:t>
      </w:r>
    </w:p>
    <w:p w14:paraId="1F027C00" w14:textId="314D7646" w:rsidR="00397C62" w:rsidRPr="00976982" w:rsidRDefault="00D916D7" w:rsidP="00976982">
      <w:pPr>
        <w:pStyle w:val="ListParagraph"/>
        <w:numPr>
          <w:ilvl w:val="0"/>
          <w:numId w:val="32"/>
        </w:numPr>
      </w:pPr>
      <w:r w:rsidRPr="00976982">
        <w:t>Information about o</w:t>
      </w:r>
      <w:r w:rsidR="00397C62" w:rsidRPr="00976982">
        <w:t xml:space="preserve">pportunities for further safeguarding </w:t>
      </w:r>
      <w:r w:rsidRPr="00976982">
        <w:t xml:space="preserve">and </w:t>
      </w:r>
      <w:r w:rsidR="00397C62" w:rsidRPr="00976982">
        <w:t>related training</w:t>
      </w:r>
    </w:p>
    <w:p w14:paraId="1D8F3210" w14:textId="6B2941DE" w:rsidR="00397C62" w:rsidRPr="00976982" w:rsidRDefault="00397C62" w:rsidP="00976982">
      <w:pPr>
        <w:pStyle w:val="ListParagraph"/>
        <w:numPr>
          <w:ilvl w:val="0"/>
          <w:numId w:val="32"/>
        </w:numPr>
      </w:pPr>
      <w:r w:rsidRPr="00976982">
        <w:t xml:space="preserve">Clarification of expectations </w:t>
      </w:r>
      <w:r w:rsidR="00D916D7" w:rsidRPr="00976982">
        <w:t xml:space="preserve">about </w:t>
      </w:r>
      <w:r w:rsidRPr="00976982">
        <w:t xml:space="preserve">the safeguarding training to </w:t>
      </w:r>
      <w:r w:rsidR="00E84976" w:rsidRPr="00976982">
        <w:t xml:space="preserve">be </w:t>
      </w:r>
      <w:r w:rsidRPr="00976982">
        <w:t>undertaken and within what timeframe.  This will vary depending on the specific ro</w:t>
      </w:r>
      <w:r w:rsidR="00E84976" w:rsidRPr="00976982">
        <w:t>le being undertaken.</w:t>
      </w:r>
    </w:p>
    <w:p w14:paraId="50B4740C" w14:textId="77777777" w:rsidR="007767D1" w:rsidRPr="00976982" w:rsidRDefault="007767D1" w:rsidP="00CF49DD">
      <w:pPr>
        <w:pStyle w:val="Heading2"/>
      </w:pPr>
      <w:bookmarkStart w:id="22" w:name="_Toc119494596"/>
      <w:r w:rsidRPr="00976982">
        <w:t>Training</w:t>
      </w:r>
      <w:bookmarkEnd w:id="22"/>
    </w:p>
    <w:p w14:paraId="27DC9192" w14:textId="1BE9E3D2" w:rsidR="00E55376" w:rsidRPr="00976982" w:rsidRDefault="00A6362D" w:rsidP="00976982">
      <w:r w:rsidRPr="00976982">
        <w:t>Training is essential in updating our understanding and skills and ensuring compliance with Sutton Healthwatch safeguarding policies and procedures</w:t>
      </w:r>
    </w:p>
    <w:p w14:paraId="6E8F2C55" w14:textId="7E61BF9E" w:rsidR="00E55376" w:rsidRPr="00976982" w:rsidRDefault="00A6362D" w:rsidP="00A218DC">
      <w:pPr>
        <w:pStyle w:val="Heading4"/>
      </w:pPr>
      <w:r w:rsidRPr="00976982">
        <w:t>When:</w:t>
      </w:r>
    </w:p>
    <w:p w14:paraId="07011D6B" w14:textId="69E40149" w:rsidR="00A6362D" w:rsidRPr="00976982" w:rsidRDefault="00A6362D" w:rsidP="00976982">
      <w:pPr>
        <w:pStyle w:val="ListParagraph"/>
        <w:numPr>
          <w:ilvl w:val="0"/>
          <w:numId w:val="33"/>
        </w:numPr>
      </w:pPr>
      <w:r w:rsidRPr="00976982">
        <w:t>At induction: Safeguarding Adults awareness training and familiarisation with the Healthwatch Sutton Safeguarding Policy</w:t>
      </w:r>
    </w:p>
    <w:p w14:paraId="0A0C4050" w14:textId="082EB337" w:rsidR="00A6362D" w:rsidRPr="00976982" w:rsidRDefault="00A6362D" w:rsidP="00976982">
      <w:pPr>
        <w:pStyle w:val="ListParagraph"/>
        <w:numPr>
          <w:ilvl w:val="0"/>
          <w:numId w:val="33"/>
        </w:numPr>
      </w:pPr>
      <w:r w:rsidRPr="00976982">
        <w:t>Every t</w:t>
      </w:r>
      <w:r w:rsidR="00896429" w:rsidRPr="00976982">
        <w:t>hree</w:t>
      </w:r>
      <w:r w:rsidRPr="00976982">
        <w:t xml:space="preserve"> years: refresher training</w:t>
      </w:r>
    </w:p>
    <w:p w14:paraId="4E26BE53" w14:textId="76CD932E" w:rsidR="00A6362D" w:rsidRPr="00976982" w:rsidRDefault="00A6362D" w:rsidP="00976982">
      <w:pPr>
        <w:pStyle w:val="ListParagraph"/>
        <w:numPr>
          <w:ilvl w:val="0"/>
          <w:numId w:val="33"/>
        </w:numPr>
      </w:pPr>
      <w:r w:rsidRPr="00976982">
        <w:t>Before a programme of Enter and View visits: brief or longer refresher training as needed</w:t>
      </w:r>
    </w:p>
    <w:p w14:paraId="6EA4980B" w14:textId="7FF2CE2E" w:rsidR="00A6362D" w:rsidRPr="00976982" w:rsidRDefault="00A6362D" w:rsidP="00976982">
      <w:pPr>
        <w:pStyle w:val="ListParagraph"/>
        <w:numPr>
          <w:ilvl w:val="0"/>
          <w:numId w:val="33"/>
        </w:numPr>
      </w:pPr>
      <w:r w:rsidRPr="00976982">
        <w:t>As needed: opportunities for training are shared with all staff, trustees and volunteers so they can develop and update their knowledge and skills</w:t>
      </w:r>
    </w:p>
    <w:p w14:paraId="090D6400" w14:textId="20F3A066" w:rsidR="00E55376" w:rsidRPr="00976982" w:rsidRDefault="00A6362D" w:rsidP="00A218DC">
      <w:pPr>
        <w:pStyle w:val="Heading4"/>
      </w:pPr>
      <w:r w:rsidRPr="00976982">
        <w:t>Monitoring compliance</w:t>
      </w:r>
    </w:p>
    <w:p w14:paraId="00CE7CF8" w14:textId="71BACB1A" w:rsidR="00A6362D" w:rsidRPr="00976982" w:rsidRDefault="00D06373" w:rsidP="00976982">
      <w:pPr>
        <w:pStyle w:val="ListParagraph"/>
        <w:numPr>
          <w:ilvl w:val="0"/>
          <w:numId w:val="34"/>
        </w:numPr>
      </w:pPr>
      <w:r w:rsidRPr="00976982">
        <w:t xml:space="preserve">Reflection on training needs </w:t>
      </w:r>
      <w:r w:rsidR="00D0105D" w:rsidRPr="00976982">
        <w:t xml:space="preserve">including safeguarding </w:t>
      </w:r>
      <w:r w:rsidR="0078313A" w:rsidRPr="00976982">
        <w:t xml:space="preserve">is part of </w:t>
      </w:r>
      <w:r w:rsidR="00D0105D" w:rsidRPr="00976982">
        <w:t xml:space="preserve">the </w:t>
      </w:r>
      <w:r w:rsidR="0078313A" w:rsidRPr="00976982">
        <w:t>annual staff appraisal</w:t>
      </w:r>
    </w:p>
    <w:p w14:paraId="37F9001D" w14:textId="050520E3" w:rsidR="00BC47C5" w:rsidRPr="00976982" w:rsidRDefault="0078313A" w:rsidP="00976982">
      <w:pPr>
        <w:pStyle w:val="ListParagraph"/>
        <w:numPr>
          <w:ilvl w:val="0"/>
          <w:numId w:val="34"/>
        </w:numPr>
      </w:pPr>
      <w:r w:rsidRPr="00976982">
        <w:lastRenderedPageBreak/>
        <w:t>A central record is kept of the safeguarding training undertaken by staff, trustees and volunteers</w:t>
      </w:r>
    </w:p>
    <w:p w14:paraId="3FDCA516" w14:textId="5BB5DD2A" w:rsidR="006A6C3C" w:rsidRPr="00976982" w:rsidRDefault="00D0105D" w:rsidP="00976982">
      <w:pPr>
        <w:pStyle w:val="ListParagraph"/>
        <w:numPr>
          <w:ilvl w:val="0"/>
          <w:numId w:val="34"/>
        </w:numPr>
      </w:pPr>
      <w:r w:rsidRPr="00976982">
        <w:t>A t</w:t>
      </w:r>
      <w:r w:rsidR="00BC47C5" w:rsidRPr="00976982">
        <w:t xml:space="preserve">raining </w:t>
      </w:r>
      <w:r w:rsidRPr="00976982">
        <w:t xml:space="preserve">compliance </w:t>
      </w:r>
      <w:r w:rsidR="00BC47C5" w:rsidRPr="00976982">
        <w:t xml:space="preserve">update is included in the regular safeguarding reports </w:t>
      </w:r>
      <w:r w:rsidR="0078313A" w:rsidRPr="00976982">
        <w:t>to the Board.</w:t>
      </w:r>
    </w:p>
    <w:p w14:paraId="64A59443" w14:textId="255EC5F2" w:rsidR="00A6362D" w:rsidRPr="00976982" w:rsidRDefault="00BC47C5" w:rsidP="00CF49DD">
      <w:pPr>
        <w:pStyle w:val="Heading2"/>
      </w:pPr>
      <w:bookmarkStart w:id="23" w:name="_Toc119494597"/>
      <w:r w:rsidRPr="00976982">
        <w:t>Supervision</w:t>
      </w:r>
      <w:bookmarkEnd w:id="23"/>
    </w:p>
    <w:p w14:paraId="0E3A1B20" w14:textId="3D5AFDBF" w:rsidR="00411030" w:rsidRPr="00976982" w:rsidRDefault="00732F5A" w:rsidP="00976982">
      <w:pPr>
        <w:rPr>
          <w:rFonts w:eastAsiaTheme="majorEastAsia" w:cstheme="majorBidi"/>
          <w:color w:val="2F5496" w:themeColor="accent1" w:themeShade="BF"/>
          <w:sz w:val="32"/>
          <w:szCs w:val="32"/>
        </w:rPr>
      </w:pPr>
      <w:r w:rsidRPr="00976982">
        <w:t>Most staff and all volunteers work in teams or open environments where they are not alone with adults at risk.  Where necessary, staff members (but not volunteers) may work alone with adults at risk providing they have completed a satisfactory probationary period.</w:t>
      </w:r>
      <w:r w:rsidR="00411030" w:rsidRPr="00976982">
        <w:br w:type="page"/>
      </w:r>
    </w:p>
    <w:p w14:paraId="0746076D" w14:textId="500939CB" w:rsidR="007C3A7E" w:rsidRPr="00976982" w:rsidRDefault="007C3A7E" w:rsidP="00A33CBB">
      <w:pPr>
        <w:pStyle w:val="Heading1"/>
      </w:pPr>
      <w:bookmarkStart w:id="24" w:name="_Toc119494598"/>
      <w:r w:rsidRPr="00976982">
        <w:lastRenderedPageBreak/>
        <w:t>Appendices</w:t>
      </w:r>
      <w:bookmarkEnd w:id="24"/>
    </w:p>
    <w:p w14:paraId="2C8AA6E1" w14:textId="578A4BD7" w:rsidR="007767D1" w:rsidRPr="00976982" w:rsidRDefault="00516F31" w:rsidP="00CF49DD">
      <w:pPr>
        <w:pStyle w:val="Heading2"/>
      </w:pPr>
      <w:bookmarkStart w:id="25" w:name="_Toc119494599"/>
      <w:r w:rsidRPr="00976982">
        <w:t>Appendix 1</w:t>
      </w:r>
      <w:r w:rsidR="0009712F" w:rsidRPr="00976982">
        <w:t>:</w:t>
      </w:r>
      <w:r w:rsidRPr="00976982">
        <w:t xml:space="preserve"> </w:t>
      </w:r>
      <w:r w:rsidR="007767D1" w:rsidRPr="00976982">
        <w:t>Legal Framework</w:t>
      </w:r>
      <w:bookmarkEnd w:id="25"/>
    </w:p>
    <w:p w14:paraId="5E30C966" w14:textId="752AF006" w:rsidR="007767D1" w:rsidRPr="00976982" w:rsidRDefault="007767D1" w:rsidP="00976982">
      <w:pPr>
        <w:pStyle w:val="ListParagraph"/>
        <w:numPr>
          <w:ilvl w:val="0"/>
          <w:numId w:val="42"/>
        </w:numPr>
      </w:pPr>
      <w:r w:rsidRPr="00976982">
        <w:t>The Care Act 2014</w:t>
      </w:r>
      <w:r w:rsidR="0050094B">
        <w:t xml:space="preserve">, and </w:t>
      </w:r>
      <w:r w:rsidR="004E6A8D" w:rsidRPr="00976982">
        <w:t xml:space="preserve">see also the </w:t>
      </w:r>
      <w:r w:rsidR="00205C1A">
        <w:t xml:space="preserve">Care and Support </w:t>
      </w:r>
      <w:r w:rsidR="004E6A8D" w:rsidRPr="00976982">
        <w:t>statutory guidance</w:t>
      </w:r>
      <w:r w:rsidR="00FC4180">
        <w:t xml:space="preserve">: </w:t>
      </w:r>
      <w:hyperlink r:id="rId18" w:history="1">
        <w:r w:rsidR="00BF6763" w:rsidRPr="008258C5">
          <w:rPr>
            <w:rStyle w:val="Hyperlink"/>
          </w:rPr>
          <w:t>https://www.gov.uk/government/publications/care-act-statutory-guidance/care-and-support-statutory-guidance</w:t>
        </w:r>
      </w:hyperlink>
      <w:r w:rsidR="004E6A8D" w:rsidRPr="00976982">
        <w:t xml:space="preserve"> </w:t>
      </w:r>
    </w:p>
    <w:p w14:paraId="38580467" w14:textId="7015E9BD" w:rsidR="00AD3A04" w:rsidRPr="00976982" w:rsidRDefault="00AD3A04" w:rsidP="00976982">
      <w:pPr>
        <w:pStyle w:val="ListParagraph"/>
        <w:numPr>
          <w:ilvl w:val="0"/>
          <w:numId w:val="42"/>
        </w:numPr>
      </w:pPr>
      <w:r w:rsidRPr="00976982">
        <w:t>Human Rights Act</w:t>
      </w:r>
      <w:r w:rsidR="00272B09" w:rsidRPr="00976982">
        <w:t xml:space="preserve"> </w:t>
      </w:r>
      <w:r w:rsidR="004A505F" w:rsidRPr="00976982">
        <w:t>1998</w:t>
      </w:r>
    </w:p>
    <w:p w14:paraId="2031D00E" w14:textId="4231CEC6" w:rsidR="00AD3A04" w:rsidRPr="00976982" w:rsidRDefault="00AD3A04" w:rsidP="00976982">
      <w:pPr>
        <w:pStyle w:val="ListParagraph"/>
        <w:numPr>
          <w:ilvl w:val="0"/>
          <w:numId w:val="42"/>
        </w:numPr>
      </w:pPr>
      <w:r w:rsidRPr="00976982">
        <w:t>Equality Act</w:t>
      </w:r>
      <w:r w:rsidR="00272B09" w:rsidRPr="00976982">
        <w:t xml:space="preserve"> </w:t>
      </w:r>
      <w:r w:rsidR="004E6A8D" w:rsidRPr="00976982">
        <w:t>201</w:t>
      </w:r>
      <w:r w:rsidR="00940A60">
        <w:t xml:space="preserve">0, and </w:t>
      </w:r>
      <w:r w:rsidR="004E6A8D" w:rsidRPr="00976982">
        <w:t>see also</w:t>
      </w:r>
      <w:r w:rsidR="002E16EE">
        <w:t xml:space="preserve"> </w:t>
      </w:r>
      <w:r w:rsidR="00D72A35">
        <w:t>“</w:t>
      </w:r>
      <w:r w:rsidR="00D72A35" w:rsidRPr="00D72A35">
        <w:t>Your rights under the Equality Act 2010</w:t>
      </w:r>
      <w:r w:rsidR="00D72A35">
        <w:t>” by the Equality and Human Rights Commission:</w:t>
      </w:r>
      <w:r w:rsidR="00D72A35" w:rsidRPr="00D72A35">
        <w:t xml:space="preserve"> </w:t>
      </w:r>
      <w:hyperlink r:id="rId19" w:history="1">
        <w:r w:rsidR="00474F99" w:rsidRPr="008258C5">
          <w:rPr>
            <w:rStyle w:val="Hyperlink"/>
          </w:rPr>
          <w:t>https://www.equalityhumanrights.com/equality/equality-act-2010/your-rights-under-equality-act-2010</w:t>
        </w:r>
      </w:hyperlink>
      <w:r w:rsidR="00474F99">
        <w:t xml:space="preserve"> </w:t>
      </w:r>
    </w:p>
    <w:p w14:paraId="1308FB46" w14:textId="77777777" w:rsidR="00045C4D" w:rsidRDefault="004A505F" w:rsidP="002421FD">
      <w:pPr>
        <w:pStyle w:val="ListParagraph"/>
        <w:numPr>
          <w:ilvl w:val="0"/>
          <w:numId w:val="42"/>
        </w:numPr>
      </w:pPr>
      <w:r w:rsidRPr="00976982">
        <w:t xml:space="preserve">The </w:t>
      </w:r>
      <w:r w:rsidR="00AD3A04" w:rsidRPr="00976982">
        <w:t>Mental Capacity Act</w:t>
      </w:r>
      <w:r w:rsidRPr="00976982">
        <w:t xml:space="preserve"> </w:t>
      </w:r>
      <w:r w:rsidR="004E6A8D" w:rsidRPr="00976982">
        <w:t xml:space="preserve">2005 </w:t>
      </w:r>
    </w:p>
    <w:p w14:paraId="6F12B5D9" w14:textId="2E587839" w:rsidR="009D7C6F" w:rsidRPr="009D7C6F" w:rsidRDefault="00A34E8D" w:rsidP="00045C4D">
      <w:pPr>
        <w:ind w:left="360"/>
      </w:pPr>
      <w:r>
        <w:t>Current versions of l</w:t>
      </w:r>
      <w:r w:rsidR="009D7C6F">
        <w:t xml:space="preserve">egislation </w:t>
      </w:r>
      <w:r>
        <w:t>are available at www.legislation.gov.uk</w:t>
      </w:r>
    </w:p>
    <w:p w14:paraId="66746A6F" w14:textId="6F8C58F6" w:rsidR="007C3A7E" w:rsidRPr="00976982" w:rsidRDefault="00516F31" w:rsidP="00CF49DD">
      <w:pPr>
        <w:pStyle w:val="Heading2"/>
      </w:pPr>
      <w:bookmarkStart w:id="26" w:name="_Toc119494600"/>
      <w:r w:rsidRPr="00976982">
        <w:t>Appendix 2</w:t>
      </w:r>
      <w:r w:rsidR="0009712F" w:rsidRPr="00976982">
        <w:t>:</w:t>
      </w:r>
      <w:r w:rsidRPr="00976982">
        <w:t xml:space="preserve"> </w:t>
      </w:r>
      <w:r w:rsidR="007C3A7E" w:rsidRPr="00976982">
        <w:t>Related Healthwatch Sutton documents</w:t>
      </w:r>
      <w:bookmarkEnd w:id="26"/>
    </w:p>
    <w:p w14:paraId="6863E827" w14:textId="0626C57F" w:rsidR="00732F5A" w:rsidRPr="00976982" w:rsidRDefault="00732F5A" w:rsidP="00976982">
      <w:r w:rsidRPr="00976982">
        <w:t>This policy should be read in conjunction with the following Healthwatch Sutton policies</w:t>
      </w:r>
      <w:r w:rsidR="000914AA">
        <w:t xml:space="preserve">, which are available on the Healthwatch Sutton website </w:t>
      </w:r>
      <w:r w:rsidR="00077D20">
        <w:t>at</w:t>
      </w:r>
      <w:r w:rsidR="00077D20" w:rsidRPr="00077D20">
        <w:t xml:space="preserve"> </w:t>
      </w:r>
      <w:hyperlink r:id="rId20" w:history="1">
        <w:r w:rsidR="00FF2499" w:rsidRPr="008258C5">
          <w:rPr>
            <w:rStyle w:val="Hyperlink"/>
          </w:rPr>
          <w:t>www.healthwatchsutton.org.uk/policies</w:t>
        </w:r>
      </w:hyperlink>
      <w:r w:rsidR="00FF2499">
        <w:t xml:space="preserve"> </w:t>
      </w:r>
    </w:p>
    <w:p w14:paraId="09DE3A63" w14:textId="63B988E3" w:rsidR="0065401C" w:rsidRPr="00976982" w:rsidRDefault="0065401C" w:rsidP="00976982">
      <w:pPr>
        <w:pStyle w:val="ListParagraph"/>
        <w:numPr>
          <w:ilvl w:val="0"/>
          <w:numId w:val="43"/>
        </w:numPr>
      </w:pPr>
      <w:r w:rsidRPr="00976982">
        <w:t>Whistle</w:t>
      </w:r>
      <w:r w:rsidR="00BF6763">
        <w:t>b</w:t>
      </w:r>
      <w:r w:rsidRPr="00976982">
        <w:t>lowing Policy</w:t>
      </w:r>
    </w:p>
    <w:p w14:paraId="61F886CD" w14:textId="5D67D893" w:rsidR="0065401C" w:rsidRPr="00976982" w:rsidRDefault="0065401C" w:rsidP="00976982">
      <w:pPr>
        <w:pStyle w:val="ListParagraph"/>
        <w:numPr>
          <w:ilvl w:val="0"/>
          <w:numId w:val="43"/>
        </w:numPr>
      </w:pPr>
      <w:r w:rsidRPr="00976982">
        <w:t>Data Protection Policy</w:t>
      </w:r>
    </w:p>
    <w:p w14:paraId="2BF0B4E3" w14:textId="4F983522" w:rsidR="006A6C3C" w:rsidRPr="00976982" w:rsidRDefault="006A6C3C" w:rsidP="00976982">
      <w:pPr>
        <w:pStyle w:val="ListParagraph"/>
        <w:numPr>
          <w:ilvl w:val="0"/>
          <w:numId w:val="43"/>
        </w:numPr>
      </w:pPr>
      <w:r w:rsidRPr="00976982">
        <w:t>Confidentiality Policy</w:t>
      </w:r>
    </w:p>
    <w:p w14:paraId="2335FB7B" w14:textId="2D2DBC97" w:rsidR="0065401C" w:rsidRPr="00976982" w:rsidRDefault="0065401C" w:rsidP="00976982">
      <w:pPr>
        <w:pStyle w:val="ListParagraph"/>
        <w:numPr>
          <w:ilvl w:val="0"/>
          <w:numId w:val="43"/>
        </w:numPr>
      </w:pPr>
      <w:r w:rsidRPr="00976982">
        <w:t>Equality</w:t>
      </w:r>
      <w:r w:rsidR="00FF2499">
        <w:t>,</w:t>
      </w:r>
      <w:r w:rsidRPr="00976982">
        <w:t xml:space="preserve"> Diversity </w:t>
      </w:r>
      <w:r w:rsidR="00FF2499">
        <w:t xml:space="preserve">and Inclusion </w:t>
      </w:r>
      <w:r w:rsidRPr="00976982">
        <w:t>Policy</w:t>
      </w:r>
    </w:p>
    <w:p w14:paraId="7FC5E1DE" w14:textId="3729E265" w:rsidR="0065401C" w:rsidRPr="00976982" w:rsidRDefault="0065401C" w:rsidP="00976982">
      <w:pPr>
        <w:pStyle w:val="ListParagraph"/>
        <w:numPr>
          <w:ilvl w:val="0"/>
          <w:numId w:val="43"/>
        </w:numPr>
      </w:pPr>
      <w:r w:rsidRPr="00976982">
        <w:t>Complaints Policy</w:t>
      </w:r>
    </w:p>
    <w:p w14:paraId="2175F829" w14:textId="5CDF1255" w:rsidR="0065401C" w:rsidRPr="00976982" w:rsidRDefault="006A6C3C" w:rsidP="00976982">
      <w:pPr>
        <w:pStyle w:val="ListParagraph"/>
        <w:numPr>
          <w:ilvl w:val="0"/>
          <w:numId w:val="43"/>
        </w:numPr>
        <w:rPr>
          <w:rFonts w:eastAsiaTheme="majorEastAsia" w:cstheme="majorBidi"/>
          <w:color w:val="2F5496" w:themeColor="accent1" w:themeShade="BF"/>
          <w:sz w:val="26"/>
          <w:szCs w:val="26"/>
        </w:rPr>
      </w:pPr>
      <w:r w:rsidRPr="00976982">
        <w:t>Code of Conduct Policy</w:t>
      </w:r>
    </w:p>
    <w:p w14:paraId="3659231D" w14:textId="7059838D" w:rsidR="007C3A7E" w:rsidRPr="00976982" w:rsidRDefault="00516F31" w:rsidP="00CF49DD">
      <w:pPr>
        <w:pStyle w:val="Heading2"/>
      </w:pPr>
      <w:bookmarkStart w:id="27" w:name="_Ref119487764"/>
      <w:bookmarkStart w:id="28" w:name="_Toc119494601"/>
      <w:r w:rsidRPr="00976982">
        <w:t>Appendix 3</w:t>
      </w:r>
      <w:r w:rsidR="0009712F" w:rsidRPr="00976982">
        <w:t>:</w:t>
      </w:r>
      <w:r w:rsidRPr="00976982">
        <w:t xml:space="preserve"> </w:t>
      </w:r>
      <w:r w:rsidR="007C3A7E" w:rsidRPr="00976982">
        <w:t>Other resources</w:t>
      </w:r>
      <w:bookmarkEnd w:id="27"/>
      <w:bookmarkEnd w:id="28"/>
    </w:p>
    <w:p w14:paraId="46CEDB12" w14:textId="0A032BCF" w:rsidR="007C3A7E" w:rsidRDefault="00000000" w:rsidP="00113A46">
      <w:pPr>
        <w:pStyle w:val="ListParagraph"/>
        <w:numPr>
          <w:ilvl w:val="0"/>
          <w:numId w:val="47"/>
        </w:numPr>
      </w:pPr>
      <w:hyperlink r:id="rId21" w:history="1">
        <w:r w:rsidR="00516D08">
          <w:rPr>
            <w:rStyle w:val="Hyperlink"/>
          </w:rPr>
          <w:t>Adult safeguarding policies and guidance - Sutton Council</w:t>
        </w:r>
      </w:hyperlink>
    </w:p>
    <w:p w14:paraId="4085CEA8" w14:textId="46B8DF80" w:rsidR="00516D08" w:rsidRDefault="00000000" w:rsidP="00113A46">
      <w:pPr>
        <w:pStyle w:val="ListParagraph"/>
        <w:numPr>
          <w:ilvl w:val="0"/>
          <w:numId w:val="47"/>
        </w:numPr>
      </w:pPr>
      <w:hyperlink r:id="rId22" w:history="1">
        <w:r w:rsidR="001A0039" w:rsidRPr="004917BF">
          <w:rPr>
            <w:rStyle w:val="Hyperlink"/>
          </w:rPr>
          <w:t xml:space="preserve">Easy read guide to identifying abuse </w:t>
        </w:r>
        <w:r w:rsidR="004917BF" w:rsidRPr="004917BF">
          <w:rPr>
            <w:rStyle w:val="Hyperlink"/>
          </w:rPr>
          <w:t>–</w:t>
        </w:r>
        <w:r w:rsidR="001A0039" w:rsidRPr="004917BF">
          <w:rPr>
            <w:rStyle w:val="Hyperlink"/>
          </w:rPr>
          <w:t xml:space="preserve"> </w:t>
        </w:r>
        <w:r w:rsidR="004917BF" w:rsidRPr="004917BF">
          <w:rPr>
            <w:rStyle w:val="Hyperlink"/>
          </w:rPr>
          <w:t>Sutton Council</w:t>
        </w:r>
      </w:hyperlink>
    </w:p>
    <w:p w14:paraId="1073E014" w14:textId="725B4CDC" w:rsidR="00D45AE6" w:rsidRDefault="00000000" w:rsidP="00113A46">
      <w:pPr>
        <w:pStyle w:val="ListParagraph"/>
        <w:numPr>
          <w:ilvl w:val="0"/>
          <w:numId w:val="47"/>
        </w:numPr>
      </w:pPr>
      <w:hyperlink r:id="rId23" w:history="1">
        <w:r w:rsidR="00D45AE6">
          <w:rPr>
            <w:rStyle w:val="Hyperlink"/>
          </w:rPr>
          <w:t>Report abuse of an adult - Sutton Council</w:t>
        </w:r>
      </w:hyperlink>
    </w:p>
    <w:p w14:paraId="03FFADDA" w14:textId="61C8B804" w:rsidR="001B11E6" w:rsidRPr="00976982" w:rsidRDefault="00000000" w:rsidP="00113A46">
      <w:pPr>
        <w:pStyle w:val="ListParagraph"/>
        <w:numPr>
          <w:ilvl w:val="0"/>
          <w:numId w:val="47"/>
        </w:numPr>
      </w:pPr>
      <w:hyperlink r:id="rId24" w:history="1">
        <w:r w:rsidR="004207B5">
          <w:rPr>
            <w:rStyle w:val="Hyperlink"/>
          </w:rPr>
          <w:t>Making Safeguarding Personal | Local Government Association</w:t>
        </w:r>
      </w:hyperlink>
    </w:p>
    <w:p w14:paraId="2DA34999" w14:textId="77777777" w:rsidR="00FE6AE2" w:rsidRPr="00976982" w:rsidRDefault="00FE6AE2" w:rsidP="00976982">
      <w:pPr>
        <w:rPr>
          <w:shd w:val="clear" w:color="auto" w:fill="FFFFFF"/>
        </w:rPr>
      </w:pPr>
      <w:bookmarkStart w:id="29" w:name="_Ref119323716"/>
      <w:r w:rsidRPr="00976982">
        <w:rPr>
          <w:shd w:val="clear" w:color="auto" w:fill="FFFFFF"/>
        </w:rPr>
        <w:br w:type="page"/>
      </w:r>
    </w:p>
    <w:p w14:paraId="275FDC9D" w14:textId="77777777" w:rsidR="003415B8" w:rsidRPr="00976982" w:rsidRDefault="003415B8" w:rsidP="00976982">
      <w:pPr>
        <w:rPr>
          <w:shd w:val="clear" w:color="auto" w:fill="FFFFFF"/>
        </w:rPr>
      </w:pPr>
    </w:p>
    <w:p w14:paraId="157F9F42" w14:textId="4FCA26F6" w:rsidR="00FE6AE2" w:rsidRPr="00976982" w:rsidRDefault="004207B5" w:rsidP="004207B5">
      <w:pPr>
        <w:pStyle w:val="Heading2"/>
      </w:pPr>
      <w:r>
        <w:t xml:space="preserve">Appendix 4: </w:t>
      </w:r>
      <w:r w:rsidR="007106A3" w:rsidRPr="00976982">
        <w:t>T</w:t>
      </w:r>
      <w:r w:rsidR="00FE6AE2" w:rsidRPr="00976982">
        <w:t>he six principles of safeguarding</w:t>
      </w:r>
    </w:p>
    <w:p w14:paraId="5C0D6BFC" w14:textId="77777777" w:rsidR="00FE6AE2" w:rsidRPr="00976982" w:rsidRDefault="00FE6AE2" w:rsidP="00FC3120">
      <w:r w:rsidRPr="00976982">
        <w:t>First introduced by the Department of Health in 2011, but now embedded in the Care Act, these six principles apply to all health and care settings.</w:t>
      </w:r>
    </w:p>
    <w:p w14:paraId="09F4878E" w14:textId="77777777" w:rsidR="00FE6AE2" w:rsidRPr="00976982" w:rsidRDefault="00FE6AE2" w:rsidP="00F40E1B">
      <w:pPr>
        <w:pStyle w:val="Heading4"/>
      </w:pPr>
      <w:r w:rsidRPr="00976982">
        <w:t>1. Empowerment</w:t>
      </w:r>
    </w:p>
    <w:p w14:paraId="0501005F" w14:textId="77777777" w:rsidR="00FE6AE2" w:rsidRPr="00976982" w:rsidRDefault="00FE6AE2" w:rsidP="00F40E1B">
      <w:pPr>
        <w:ind w:left="357"/>
      </w:pPr>
      <w:r w:rsidRPr="00976982">
        <w:t>People being supported and encouraged to make their own decisions and informed consent</w:t>
      </w:r>
    </w:p>
    <w:p w14:paraId="1277EF51" w14:textId="77777777" w:rsidR="00FE6AE2" w:rsidRPr="00976982" w:rsidRDefault="00FE6AE2" w:rsidP="00F40E1B">
      <w:pPr>
        <w:pStyle w:val="Heading4"/>
      </w:pPr>
      <w:r w:rsidRPr="00976982">
        <w:t>2. Prevention</w:t>
      </w:r>
    </w:p>
    <w:p w14:paraId="1E24AFC0" w14:textId="77777777" w:rsidR="00FE6AE2" w:rsidRPr="00976982" w:rsidRDefault="00FE6AE2" w:rsidP="00F40E1B">
      <w:pPr>
        <w:ind w:left="357"/>
      </w:pPr>
      <w:r w:rsidRPr="00976982">
        <w:t>It is better to take action before harm occurs.</w:t>
      </w:r>
    </w:p>
    <w:p w14:paraId="00770A82" w14:textId="77777777" w:rsidR="00FE6AE2" w:rsidRPr="00976982" w:rsidRDefault="00FE6AE2" w:rsidP="00F40E1B">
      <w:pPr>
        <w:pStyle w:val="Heading4"/>
      </w:pPr>
      <w:r w:rsidRPr="00976982">
        <w:t>3. Proportionality</w:t>
      </w:r>
    </w:p>
    <w:p w14:paraId="71DAC1B7" w14:textId="77777777" w:rsidR="00FE6AE2" w:rsidRPr="00976982" w:rsidRDefault="00FE6AE2" w:rsidP="00F40E1B">
      <w:pPr>
        <w:ind w:left="357"/>
      </w:pPr>
      <w:r w:rsidRPr="00976982">
        <w:t>The least intrusive response appropriate to the risk presented.</w:t>
      </w:r>
    </w:p>
    <w:p w14:paraId="704674ED" w14:textId="77777777" w:rsidR="00FE6AE2" w:rsidRPr="00976982" w:rsidRDefault="00FE6AE2" w:rsidP="00F40E1B">
      <w:pPr>
        <w:pStyle w:val="Heading4"/>
      </w:pPr>
      <w:r w:rsidRPr="00976982">
        <w:t>4. Protection</w:t>
      </w:r>
    </w:p>
    <w:p w14:paraId="5A009F9B" w14:textId="77777777" w:rsidR="00FE6AE2" w:rsidRPr="00976982" w:rsidRDefault="00FE6AE2" w:rsidP="00F40E1B">
      <w:pPr>
        <w:ind w:left="357"/>
      </w:pPr>
      <w:r w:rsidRPr="00976982">
        <w:t>Support and representation for those in greatest need.</w:t>
      </w:r>
    </w:p>
    <w:p w14:paraId="64F7F2B8" w14:textId="77777777" w:rsidR="00FE6AE2" w:rsidRPr="00976982" w:rsidRDefault="00FE6AE2" w:rsidP="00F40E1B">
      <w:pPr>
        <w:pStyle w:val="Heading4"/>
      </w:pPr>
      <w:r w:rsidRPr="00976982">
        <w:t>5. Partnership</w:t>
      </w:r>
    </w:p>
    <w:p w14:paraId="17276EE3" w14:textId="77777777" w:rsidR="00FE6AE2" w:rsidRPr="00976982" w:rsidRDefault="00FE6AE2" w:rsidP="00F40E1B">
      <w:pPr>
        <w:ind w:left="357"/>
      </w:pPr>
      <w:r w:rsidRPr="00976982">
        <w:t>Local solutions through services working with their communities. Communities have a part to play in preventing, detecting and reporting neglect and abuse.</w:t>
      </w:r>
    </w:p>
    <w:p w14:paraId="5ED5BF79" w14:textId="77777777" w:rsidR="00FE6AE2" w:rsidRPr="00976982" w:rsidRDefault="00FE6AE2" w:rsidP="00F40E1B">
      <w:pPr>
        <w:pStyle w:val="Heading4"/>
      </w:pPr>
      <w:r w:rsidRPr="00976982">
        <w:t>6. Accountability</w:t>
      </w:r>
    </w:p>
    <w:p w14:paraId="3AF71262" w14:textId="77777777" w:rsidR="00382391" w:rsidRDefault="00FE6AE2" w:rsidP="00F40E1B">
      <w:pPr>
        <w:ind w:left="357"/>
      </w:pPr>
      <w:r w:rsidRPr="00976982">
        <w:t>Accountability and transparency in safeguarding practice.</w:t>
      </w:r>
    </w:p>
    <w:p w14:paraId="338900B6" w14:textId="263ACCE8" w:rsidR="00382391" w:rsidRPr="00976982" w:rsidRDefault="00382391" w:rsidP="00382391">
      <w:pPr>
        <w:pStyle w:val="Heading2"/>
      </w:pPr>
      <w:bookmarkStart w:id="30" w:name="_Toc119494603"/>
      <w:bookmarkStart w:id="31" w:name="_Ref124936857"/>
      <w:r w:rsidRPr="00976982">
        <w:t>Appendix 5</w:t>
      </w:r>
      <w:r>
        <w:t>:</w:t>
      </w:r>
      <w:r w:rsidRPr="00976982">
        <w:t xml:space="preserve"> Contact numbers</w:t>
      </w:r>
      <w:bookmarkEnd w:id="30"/>
      <w:bookmarkEnd w:id="31"/>
      <w:r w:rsidRPr="00976982">
        <w:t xml:space="preserve"> </w:t>
      </w:r>
    </w:p>
    <w:p w14:paraId="01DA49FB" w14:textId="77777777" w:rsidR="00781214" w:rsidRDefault="00382391" w:rsidP="00781214">
      <w:pPr>
        <w:spacing w:before="240"/>
        <w:ind w:firstLine="360"/>
      </w:pPr>
      <w:r w:rsidRPr="00781214">
        <w:rPr>
          <w:b/>
          <w:bCs/>
        </w:rPr>
        <w:t>Healthwatch Sutton</w:t>
      </w:r>
    </w:p>
    <w:p w14:paraId="29ED080E" w14:textId="1E4CC2CF" w:rsidR="00382391" w:rsidRPr="00976982" w:rsidRDefault="00382391" w:rsidP="009A44A2">
      <w:pPr>
        <w:pStyle w:val="ListParagraph"/>
        <w:numPr>
          <w:ilvl w:val="0"/>
          <w:numId w:val="48"/>
        </w:numPr>
      </w:pPr>
      <w:r w:rsidRPr="00976982">
        <w:t xml:space="preserve">Pete Flavell, </w:t>
      </w:r>
      <w:r w:rsidR="00284D93">
        <w:t>Chief Executive</w:t>
      </w:r>
      <w:r w:rsidR="00975ED7">
        <w:t xml:space="preserve"> and Adult Safeguarding Lead</w:t>
      </w:r>
      <w:r w:rsidR="00284D93">
        <w:t xml:space="preserve">, </w:t>
      </w:r>
      <w:r w:rsidRPr="00976982">
        <w:t>07726 543 440</w:t>
      </w:r>
    </w:p>
    <w:p w14:paraId="1F9D52B5" w14:textId="4C2990FA" w:rsidR="00382391" w:rsidRPr="00976982" w:rsidRDefault="00BD3077" w:rsidP="009A44A2">
      <w:pPr>
        <w:pStyle w:val="ListParagraph"/>
        <w:numPr>
          <w:ilvl w:val="0"/>
          <w:numId w:val="48"/>
        </w:numPr>
      </w:pPr>
      <w:r>
        <w:t>Andrew M</w:t>
      </w:r>
      <w:r w:rsidR="00AB7B21">
        <w:t>cDonald</w:t>
      </w:r>
      <w:r w:rsidR="00975ED7">
        <w:t xml:space="preserve">, </w:t>
      </w:r>
      <w:r w:rsidR="00382391" w:rsidRPr="00976982">
        <w:t>Healthwatch Sutton Deputy Safeguarding Lead</w:t>
      </w:r>
      <w:r w:rsidR="00AB7B21">
        <w:t xml:space="preserve">, </w:t>
      </w:r>
      <w:r w:rsidR="006F09CD" w:rsidRPr="006F09CD">
        <w:t>07470</w:t>
      </w:r>
      <w:r w:rsidR="006F09CD">
        <w:t xml:space="preserve"> </w:t>
      </w:r>
      <w:r w:rsidR="006F09CD" w:rsidRPr="006F09CD">
        <w:t>203</w:t>
      </w:r>
      <w:r w:rsidR="006F09CD">
        <w:t xml:space="preserve"> </w:t>
      </w:r>
      <w:r w:rsidR="006F09CD" w:rsidRPr="006F09CD">
        <w:t>655</w:t>
      </w:r>
    </w:p>
    <w:p w14:paraId="717A9A01" w14:textId="77777777" w:rsidR="00382391" w:rsidRPr="00284D93" w:rsidRDefault="00382391" w:rsidP="00781214">
      <w:pPr>
        <w:ind w:firstLine="360"/>
        <w:rPr>
          <w:b/>
          <w:bCs/>
        </w:rPr>
      </w:pPr>
      <w:r w:rsidRPr="00284D93">
        <w:rPr>
          <w:b/>
          <w:bCs/>
        </w:rPr>
        <w:t>Sutton Adult Social Care</w:t>
      </w:r>
    </w:p>
    <w:p w14:paraId="68E48481" w14:textId="77777777" w:rsidR="00781214" w:rsidRDefault="00382391" w:rsidP="00FE6BFE">
      <w:pPr>
        <w:pStyle w:val="ListParagraph"/>
        <w:numPr>
          <w:ilvl w:val="0"/>
          <w:numId w:val="49"/>
        </w:numPr>
      </w:pPr>
      <w:r w:rsidRPr="00976982">
        <w:t xml:space="preserve">The online form for reporting abuse is here: </w:t>
      </w:r>
      <w:hyperlink r:id="rId25" w:history="1">
        <w:r w:rsidR="005F10FA">
          <w:rPr>
            <w:rStyle w:val="Hyperlink"/>
          </w:rPr>
          <w:t>Report abuse of an adult - Sutton Council</w:t>
        </w:r>
      </w:hyperlink>
    </w:p>
    <w:p w14:paraId="153AE947" w14:textId="77777777" w:rsidR="00AD0F5E" w:rsidRDefault="00FE6BFE" w:rsidP="00FE6BFE">
      <w:pPr>
        <w:pStyle w:val="ListParagraph"/>
        <w:numPr>
          <w:ilvl w:val="0"/>
          <w:numId w:val="49"/>
        </w:numPr>
      </w:pPr>
      <w:r>
        <w:t xml:space="preserve">You can report a concern to </w:t>
      </w:r>
      <w:r w:rsidR="00382391" w:rsidRPr="00976982">
        <w:t xml:space="preserve">Sutton Council by phone </w:t>
      </w:r>
      <w:r>
        <w:t xml:space="preserve">on </w:t>
      </w:r>
      <w:r w:rsidR="00382391" w:rsidRPr="00976982">
        <w:t xml:space="preserve">020 8770 6770 </w:t>
      </w:r>
      <w:r w:rsidR="00AD0F5E">
        <w:t>(9am – 5pm, Monday – Friday)</w:t>
      </w:r>
    </w:p>
    <w:p w14:paraId="3A382C21" w14:textId="2FF4F97E" w:rsidR="0065401C" w:rsidRPr="00976982" w:rsidRDefault="00AD0F5E" w:rsidP="00FE6BFE">
      <w:pPr>
        <w:pStyle w:val="ListParagraph"/>
        <w:numPr>
          <w:ilvl w:val="0"/>
          <w:numId w:val="49"/>
        </w:numPr>
      </w:pPr>
      <w:r>
        <w:t xml:space="preserve">You can report a concern to Sutton Council outside working hours on </w:t>
      </w:r>
      <w:r w:rsidR="00E021C1" w:rsidRPr="00E021C1">
        <w:t>020 8770 5000</w:t>
      </w:r>
      <w:r w:rsidR="00E021C1">
        <w:t>.</w:t>
      </w:r>
      <w:r w:rsidR="00831B29" w:rsidRPr="00976982">
        <w:br/>
      </w:r>
      <w:r w:rsidR="0065401C" w:rsidRPr="00976982">
        <w:br w:type="page"/>
      </w:r>
    </w:p>
    <w:p w14:paraId="73A1A073" w14:textId="71C874AD" w:rsidR="007C3A7E" w:rsidRPr="00976982" w:rsidRDefault="00516F31" w:rsidP="00CF49DD">
      <w:pPr>
        <w:pStyle w:val="Heading2"/>
      </w:pPr>
      <w:bookmarkStart w:id="32" w:name="_Toc119494602"/>
      <w:r w:rsidRPr="00976982">
        <w:lastRenderedPageBreak/>
        <w:t xml:space="preserve">Appendix </w:t>
      </w:r>
      <w:r w:rsidR="00E021C1">
        <w:t>6</w:t>
      </w:r>
      <w:r w:rsidR="00831B29" w:rsidRPr="00976982">
        <w:t>:</w:t>
      </w:r>
      <w:r w:rsidRPr="00976982">
        <w:t xml:space="preserve"> </w:t>
      </w:r>
      <w:r w:rsidR="007C3A7E" w:rsidRPr="00976982">
        <w:t>Form for documenting incidents, concerns, or allegations</w:t>
      </w:r>
      <w:bookmarkEnd w:id="29"/>
      <w:bookmarkEnd w:id="32"/>
    </w:p>
    <w:p w14:paraId="7B59BB96" w14:textId="6A8EA8F8" w:rsidR="000D2BD0" w:rsidRPr="00976982" w:rsidRDefault="005439A2" w:rsidP="00976982">
      <w:bookmarkStart w:id="33" w:name="_Ref119323735"/>
      <w:r>
        <w:t xml:space="preserve">This form </w:t>
      </w:r>
      <w:r w:rsidR="00736BB7">
        <w:t xml:space="preserve">collects the information which Sutton Council </w:t>
      </w:r>
      <w:r w:rsidR="00A72F2E">
        <w:t xml:space="preserve">will ask for </w:t>
      </w:r>
      <w:r w:rsidR="0079463C">
        <w:t xml:space="preserve">when a concern is reported to them. </w:t>
      </w:r>
    </w:p>
    <w:tbl>
      <w:tblPr>
        <w:tblStyle w:val="TableGrid"/>
        <w:tblW w:w="9464" w:type="dxa"/>
        <w:tblLook w:val="04A0" w:firstRow="1" w:lastRow="0" w:firstColumn="1" w:lastColumn="0" w:noHBand="0" w:noVBand="1"/>
      </w:tblPr>
      <w:tblGrid>
        <w:gridCol w:w="9464"/>
      </w:tblGrid>
      <w:tr w:rsidR="000D2BD0" w:rsidRPr="00976982" w14:paraId="10D6FD50" w14:textId="77777777" w:rsidTr="000D2BD0">
        <w:tc>
          <w:tcPr>
            <w:tcW w:w="9464" w:type="dxa"/>
          </w:tcPr>
          <w:p w14:paraId="2ABDFE9B" w14:textId="62FBE015" w:rsidR="000D2BD0" w:rsidRPr="0074591F" w:rsidRDefault="00DE4213" w:rsidP="00976982">
            <w:pPr>
              <w:rPr>
                <w:b/>
                <w:bCs/>
              </w:rPr>
            </w:pPr>
            <w:r w:rsidRPr="0074591F">
              <w:rPr>
                <w:b/>
                <w:bCs/>
              </w:rPr>
              <w:t>Details of the p</w:t>
            </w:r>
            <w:r w:rsidR="0074591F" w:rsidRPr="0074591F">
              <w:rPr>
                <w:b/>
                <w:bCs/>
              </w:rPr>
              <w:t>erson raising a concern:</w:t>
            </w:r>
          </w:p>
          <w:p w14:paraId="2503041F" w14:textId="63A7D066" w:rsidR="000D2BD0" w:rsidRPr="00976982" w:rsidRDefault="000D2BD0" w:rsidP="003B3821">
            <w:pPr>
              <w:spacing w:before="240"/>
            </w:pPr>
            <w:r w:rsidRPr="00976982">
              <w:t>Name</w:t>
            </w:r>
            <w:r w:rsidR="00E0747D">
              <w:t>:</w:t>
            </w:r>
            <w:r w:rsidR="00B478C3" w:rsidRPr="00976982">
              <w:tab/>
            </w:r>
          </w:p>
          <w:p w14:paraId="68B4E99A" w14:textId="37F2BECF" w:rsidR="000D2BD0" w:rsidRPr="00976982" w:rsidRDefault="000D2BD0" w:rsidP="0074591F">
            <w:pPr>
              <w:spacing w:before="240"/>
            </w:pPr>
            <w:r w:rsidRPr="00976982">
              <w:t>Role</w:t>
            </w:r>
            <w:r w:rsidR="00E0747D">
              <w:t>:</w:t>
            </w:r>
            <w:r w:rsidR="00B478C3" w:rsidRPr="00976982">
              <w:tab/>
            </w:r>
            <w:r w:rsidR="00B478C3" w:rsidRPr="00976982">
              <w:tab/>
            </w:r>
          </w:p>
          <w:p w14:paraId="6196C6DF" w14:textId="768ED84C" w:rsidR="0074591F" w:rsidRDefault="0074591F" w:rsidP="0074591F">
            <w:pPr>
              <w:spacing w:before="240"/>
            </w:pPr>
            <w:r>
              <w:t>P</w:t>
            </w:r>
            <w:r w:rsidR="000D2BD0" w:rsidRPr="00976982">
              <w:t>hone</w:t>
            </w:r>
            <w:r w:rsidR="00E0747D">
              <w:t>:</w:t>
            </w:r>
          </w:p>
          <w:p w14:paraId="78B05E05" w14:textId="44D27250" w:rsidR="000D2BD0" w:rsidRPr="00976982" w:rsidRDefault="0074591F" w:rsidP="0074591F">
            <w:pPr>
              <w:spacing w:before="240"/>
            </w:pPr>
            <w:r>
              <w:t>E</w:t>
            </w:r>
            <w:r w:rsidR="000D2BD0" w:rsidRPr="00976982">
              <w:t>mail</w:t>
            </w:r>
            <w:r w:rsidR="00E0747D">
              <w:t>:</w:t>
            </w:r>
            <w:r w:rsidR="00B478C3" w:rsidRPr="00976982">
              <w:tab/>
            </w:r>
          </w:p>
        </w:tc>
      </w:tr>
      <w:tr w:rsidR="000D2BD0" w:rsidRPr="00976982" w14:paraId="69760E77" w14:textId="77777777" w:rsidTr="000D2BD0">
        <w:tc>
          <w:tcPr>
            <w:tcW w:w="9464" w:type="dxa"/>
          </w:tcPr>
          <w:p w14:paraId="2B8C5B44" w14:textId="4D1502FC" w:rsidR="000D2BD0" w:rsidRPr="003B3821" w:rsidRDefault="003B3821" w:rsidP="00976982">
            <w:pPr>
              <w:rPr>
                <w:b/>
                <w:bCs/>
              </w:rPr>
            </w:pPr>
            <w:r>
              <w:rPr>
                <w:b/>
                <w:bCs/>
              </w:rPr>
              <w:t>Details of the a</w:t>
            </w:r>
            <w:r w:rsidR="000D2BD0" w:rsidRPr="003B3821">
              <w:rPr>
                <w:b/>
                <w:bCs/>
              </w:rPr>
              <w:t>dult at risk of abuse, harm or neglect</w:t>
            </w:r>
            <w:r>
              <w:rPr>
                <w:b/>
                <w:bCs/>
              </w:rPr>
              <w:t>:</w:t>
            </w:r>
          </w:p>
          <w:p w14:paraId="2E23F472" w14:textId="58784253" w:rsidR="000D2BD0" w:rsidRPr="00976982" w:rsidRDefault="000D2BD0" w:rsidP="00945961">
            <w:pPr>
              <w:spacing w:before="240"/>
            </w:pPr>
            <w:r w:rsidRPr="00976982">
              <w:t>Name</w:t>
            </w:r>
            <w:r w:rsidR="00E0747D">
              <w:t>:</w:t>
            </w:r>
            <w:r w:rsidR="00B478C3" w:rsidRPr="00976982">
              <w:tab/>
            </w:r>
          </w:p>
          <w:p w14:paraId="6FBDCA9D" w14:textId="18954D23" w:rsidR="000D2BD0" w:rsidRPr="00976982" w:rsidRDefault="000D2BD0" w:rsidP="00945961">
            <w:pPr>
              <w:spacing w:before="240"/>
            </w:pPr>
            <w:r w:rsidRPr="00976982">
              <w:t>Addres</w:t>
            </w:r>
            <w:r w:rsidR="003B3821">
              <w:t>s</w:t>
            </w:r>
            <w:r w:rsidR="00E0747D">
              <w:t>:</w:t>
            </w:r>
          </w:p>
          <w:p w14:paraId="38A33E72" w14:textId="32BCE92B" w:rsidR="00DE2771" w:rsidRDefault="000D2BD0" w:rsidP="00991DA4">
            <w:pPr>
              <w:spacing w:before="240"/>
            </w:pPr>
            <w:r w:rsidRPr="00976982">
              <w:t>Date of birth</w:t>
            </w:r>
            <w:r w:rsidR="00991DA4">
              <w:t xml:space="preserve"> or age</w:t>
            </w:r>
            <w:r w:rsidR="00E0747D">
              <w:t>:</w:t>
            </w:r>
          </w:p>
          <w:p w14:paraId="6E3F46E1" w14:textId="1449EBF8" w:rsidR="000D2BD0" w:rsidRPr="00976982" w:rsidRDefault="008B37FD" w:rsidP="00991DA4">
            <w:pPr>
              <w:spacing w:before="240"/>
            </w:pPr>
            <w:r>
              <w:t>Any other relevant information to help</w:t>
            </w:r>
            <w:r>
              <w:br/>
              <w:t>Sutton Council identify the person</w:t>
            </w:r>
            <w:r w:rsidR="00E0747D">
              <w:t>:</w:t>
            </w:r>
            <w:r w:rsidR="00B478C3" w:rsidRPr="00976982">
              <w:tab/>
            </w:r>
            <w:r w:rsidR="00B478C3" w:rsidRPr="00976982">
              <w:tab/>
            </w:r>
          </w:p>
        </w:tc>
      </w:tr>
      <w:tr w:rsidR="000D2BD0" w:rsidRPr="00976982" w14:paraId="4CB31F6D" w14:textId="77777777" w:rsidTr="000D2BD0">
        <w:tc>
          <w:tcPr>
            <w:tcW w:w="9464" w:type="dxa"/>
          </w:tcPr>
          <w:p w14:paraId="1B06AD8A" w14:textId="7F9FF15F" w:rsidR="000D2BD0" w:rsidRPr="00F86707" w:rsidRDefault="00690C67" w:rsidP="00976982">
            <w:pPr>
              <w:rPr>
                <w:b/>
                <w:bCs/>
              </w:rPr>
            </w:pPr>
            <w:r w:rsidRPr="00F86707">
              <w:rPr>
                <w:b/>
                <w:bCs/>
              </w:rPr>
              <w:t xml:space="preserve">Details of the person </w:t>
            </w:r>
            <w:r w:rsidR="001D612F" w:rsidRPr="00F86707">
              <w:rPr>
                <w:b/>
                <w:bCs/>
              </w:rPr>
              <w:t xml:space="preserve">mistreating </w:t>
            </w:r>
            <w:r w:rsidR="00F86707" w:rsidRPr="00F86707">
              <w:rPr>
                <w:b/>
                <w:bCs/>
              </w:rPr>
              <w:t>the adult</w:t>
            </w:r>
          </w:p>
          <w:p w14:paraId="6F92FEE9" w14:textId="36648B1D" w:rsidR="00E00B4E" w:rsidRPr="00976982" w:rsidRDefault="00F86707" w:rsidP="00F86707">
            <w:pPr>
              <w:spacing w:before="240"/>
            </w:pPr>
            <w:r>
              <w:t>Name (if known):</w:t>
            </w:r>
          </w:p>
          <w:p w14:paraId="3721AA88" w14:textId="4D81B08F" w:rsidR="00E00B4E" w:rsidRDefault="00F86707" w:rsidP="00F86707">
            <w:pPr>
              <w:spacing w:before="240"/>
            </w:pPr>
            <w:r>
              <w:t>Any other relevant information:</w:t>
            </w:r>
          </w:p>
          <w:p w14:paraId="51BBCB2C" w14:textId="77777777" w:rsidR="00F86707" w:rsidRDefault="00F86707" w:rsidP="00F86707">
            <w:pPr>
              <w:spacing w:before="240"/>
            </w:pPr>
          </w:p>
          <w:p w14:paraId="29DC2401" w14:textId="77777777" w:rsidR="007909EC" w:rsidRPr="00976982" w:rsidRDefault="007909EC" w:rsidP="00F86707">
            <w:pPr>
              <w:spacing w:before="240"/>
            </w:pPr>
          </w:p>
          <w:p w14:paraId="37C9A499" w14:textId="23269AA0" w:rsidR="000D2BD0" w:rsidRPr="00976982" w:rsidRDefault="000D2BD0" w:rsidP="00976982"/>
        </w:tc>
      </w:tr>
      <w:tr w:rsidR="000D2BD0" w:rsidRPr="00976982" w14:paraId="335EEF53" w14:textId="77777777" w:rsidTr="000D2BD0">
        <w:tc>
          <w:tcPr>
            <w:tcW w:w="9464" w:type="dxa"/>
          </w:tcPr>
          <w:p w14:paraId="2898177F" w14:textId="01A6F3FE" w:rsidR="000D2BD0" w:rsidRPr="00EF77A9" w:rsidRDefault="00EF77A9" w:rsidP="00976982">
            <w:pPr>
              <w:rPr>
                <w:b/>
                <w:bCs/>
              </w:rPr>
            </w:pPr>
            <w:r>
              <w:rPr>
                <w:b/>
                <w:bCs/>
              </w:rPr>
              <w:t xml:space="preserve">What </w:t>
            </w:r>
            <w:r w:rsidR="00F51564">
              <w:rPr>
                <w:b/>
                <w:bCs/>
              </w:rPr>
              <w:t>has happened or is happening that makes you concerned?</w:t>
            </w:r>
          </w:p>
          <w:p w14:paraId="5F0EE93B" w14:textId="77777777" w:rsidR="00896429" w:rsidRPr="00976982" w:rsidRDefault="00896429" w:rsidP="00976982"/>
          <w:p w14:paraId="4C0E60A5" w14:textId="77777777" w:rsidR="00E00B4E" w:rsidRPr="00976982" w:rsidRDefault="00E00B4E" w:rsidP="00976982"/>
          <w:p w14:paraId="00288D32" w14:textId="77777777" w:rsidR="00E00B4E" w:rsidRDefault="00E00B4E" w:rsidP="00976982"/>
          <w:p w14:paraId="2B6A9DB5" w14:textId="77777777" w:rsidR="00A10288" w:rsidRPr="00976982" w:rsidRDefault="00A10288" w:rsidP="00976982"/>
          <w:p w14:paraId="311BC4FF" w14:textId="77777777" w:rsidR="00E00B4E" w:rsidRPr="00976982" w:rsidRDefault="00E00B4E" w:rsidP="00976982"/>
          <w:p w14:paraId="26EB7E74" w14:textId="2EBD5968" w:rsidR="00E00B4E" w:rsidRPr="00976982" w:rsidRDefault="00E00B4E" w:rsidP="00976982"/>
        </w:tc>
      </w:tr>
      <w:tr w:rsidR="000D2BD0" w:rsidRPr="00976982" w14:paraId="413B5B04" w14:textId="77777777" w:rsidTr="000D2BD0">
        <w:tc>
          <w:tcPr>
            <w:tcW w:w="9464" w:type="dxa"/>
          </w:tcPr>
          <w:p w14:paraId="5BF44956" w14:textId="4AED0400" w:rsidR="000D2BD0" w:rsidRPr="00D1584E" w:rsidRDefault="00896429" w:rsidP="00976982">
            <w:pPr>
              <w:rPr>
                <w:b/>
                <w:bCs/>
              </w:rPr>
            </w:pPr>
            <w:r w:rsidRPr="00D1584E">
              <w:rPr>
                <w:b/>
                <w:bCs/>
              </w:rPr>
              <w:t>Any actions taken to address immediate risks</w:t>
            </w:r>
            <w:r w:rsidR="00D1584E" w:rsidRPr="00D1584E">
              <w:rPr>
                <w:b/>
                <w:bCs/>
              </w:rPr>
              <w:t>, or that need to be taken</w:t>
            </w:r>
          </w:p>
          <w:p w14:paraId="49DC2948" w14:textId="77777777" w:rsidR="00E00B4E" w:rsidRDefault="00E00B4E" w:rsidP="00976982"/>
          <w:p w14:paraId="4D7C8CF8" w14:textId="77777777" w:rsidR="007909EC" w:rsidRPr="00976982" w:rsidRDefault="007909EC" w:rsidP="00976982"/>
          <w:p w14:paraId="7DC184E4" w14:textId="77777777" w:rsidR="00E00B4E" w:rsidRPr="00976982" w:rsidRDefault="00E00B4E" w:rsidP="00976982"/>
          <w:p w14:paraId="6EAB6B2C" w14:textId="216A1558" w:rsidR="002C2AEE" w:rsidRPr="00976982" w:rsidRDefault="002C2AEE" w:rsidP="00976982"/>
        </w:tc>
      </w:tr>
      <w:tr w:rsidR="00D1584E" w:rsidRPr="00976982" w14:paraId="0FD4A31C" w14:textId="77777777" w:rsidTr="00D1584E">
        <w:trPr>
          <w:cantSplit/>
        </w:trPr>
        <w:tc>
          <w:tcPr>
            <w:tcW w:w="9464" w:type="dxa"/>
            <w:vAlign w:val="bottom"/>
          </w:tcPr>
          <w:p w14:paraId="3D415E8A" w14:textId="67DC0226" w:rsidR="00D1584E" w:rsidRPr="00A10288" w:rsidRDefault="00D1584E" w:rsidP="007909EC">
            <w:pPr>
              <w:rPr>
                <w:b/>
                <w:bCs/>
              </w:rPr>
            </w:pPr>
            <w:r w:rsidRPr="00A10288">
              <w:rPr>
                <w:b/>
                <w:bCs/>
              </w:rPr>
              <w:t>Name and role of person reporting</w:t>
            </w:r>
            <w:r w:rsidR="00B92EC4" w:rsidRPr="00A10288">
              <w:rPr>
                <w:b/>
                <w:bCs/>
              </w:rPr>
              <w:t xml:space="preserve"> </w:t>
            </w:r>
            <w:r w:rsidR="00A10288" w:rsidRPr="00A10288">
              <w:rPr>
                <w:b/>
                <w:bCs/>
              </w:rPr>
              <w:br/>
            </w:r>
            <w:r w:rsidR="00B92EC4" w:rsidRPr="00A10288">
              <w:rPr>
                <w:b/>
                <w:bCs/>
              </w:rPr>
              <w:t xml:space="preserve">the </w:t>
            </w:r>
            <w:r w:rsidRPr="00A10288">
              <w:rPr>
                <w:b/>
                <w:bCs/>
              </w:rPr>
              <w:t>concern</w:t>
            </w:r>
            <w:r w:rsidR="00A10288" w:rsidRPr="00A10288">
              <w:rPr>
                <w:b/>
                <w:bCs/>
              </w:rPr>
              <w:t xml:space="preserve"> to Sutton Council</w:t>
            </w:r>
            <w:r w:rsidRPr="00A10288">
              <w:rPr>
                <w:b/>
                <w:bCs/>
              </w:rPr>
              <w:tab/>
            </w:r>
          </w:p>
        </w:tc>
      </w:tr>
      <w:tr w:rsidR="000D2BD0" w:rsidRPr="00976982" w14:paraId="0954B4C4" w14:textId="77777777" w:rsidTr="00D1584E">
        <w:trPr>
          <w:cantSplit/>
        </w:trPr>
        <w:tc>
          <w:tcPr>
            <w:tcW w:w="9464" w:type="dxa"/>
            <w:vAlign w:val="bottom"/>
          </w:tcPr>
          <w:p w14:paraId="4FFF1EFD" w14:textId="4F7410FB" w:rsidR="000D2BD0" w:rsidRPr="00A10288" w:rsidRDefault="00896429" w:rsidP="00D1584E">
            <w:pPr>
              <w:spacing w:before="240"/>
              <w:rPr>
                <w:b/>
                <w:bCs/>
              </w:rPr>
            </w:pPr>
            <w:r w:rsidRPr="00A10288">
              <w:rPr>
                <w:b/>
                <w:bCs/>
              </w:rPr>
              <w:t>Date and time</w:t>
            </w:r>
            <w:r w:rsidR="00B478C3" w:rsidRPr="00A10288">
              <w:rPr>
                <w:b/>
                <w:bCs/>
              </w:rPr>
              <w:tab/>
            </w:r>
            <w:r w:rsidR="00B478C3" w:rsidRPr="00A10288">
              <w:rPr>
                <w:b/>
                <w:bCs/>
              </w:rPr>
              <w:tab/>
            </w:r>
          </w:p>
        </w:tc>
      </w:tr>
      <w:tr w:rsidR="000D2BD0" w:rsidRPr="00976982" w14:paraId="2434AD31" w14:textId="77777777" w:rsidTr="00D1584E">
        <w:tc>
          <w:tcPr>
            <w:tcW w:w="9464" w:type="dxa"/>
            <w:vAlign w:val="bottom"/>
          </w:tcPr>
          <w:p w14:paraId="59EAEA8B" w14:textId="37164304" w:rsidR="000D2BD0" w:rsidRPr="00A10288" w:rsidRDefault="00896429" w:rsidP="00D1584E">
            <w:pPr>
              <w:spacing w:before="240"/>
              <w:rPr>
                <w:b/>
                <w:bCs/>
              </w:rPr>
            </w:pPr>
            <w:r w:rsidRPr="00A10288">
              <w:rPr>
                <w:b/>
                <w:bCs/>
              </w:rPr>
              <w:t>Signature</w:t>
            </w:r>
            <w:r w:rsidR="00B478C3" w:rsidRPr="00A10288">
              <w:rPr>
                <w:b/>
                <w:bCs/>
              </w:rPr>
              <w:tab/>
            </w:r>
            <w:r w:rsidR="00B478C3" w:rsidRPr="00A10288">
              <w:rPr>
                <w:b/>
                <w:bCs/>
              </w:rPr>
              <w:tab/>
            </w:r>
          </w:p>
        </w:tc>
      </w:tr>
      <w:bookmarkEnd w:id="33"/>
    </w:tbl>
    <w:p w14:paraId="09013BF1" w14:textId="3F5AB64E" w:rsidR="00F574DD" w:rsidRPr="00EE5FFD" w:rsidRDefault="00F574DD">
      <w:pPr>
        <w:rPr>
          <w:rFonts w:eastAsiaTheme="majorEastAsia" w:cstheme="majorBidi"/>
          <w:color w:val="2F5496" w:themeColor="accent1" w:themeShade="BF"/>
          <w:sz w:val="26"/>
          <w:szCs w:val="26"/>
        </w:rPr>
      </w:pPr>
    </w:p>
    <w:sectPr w:rsidR="00F574DD" w:rsidRPr="00EE5FFD" w:rsidSect="005D69E5">
      <w:footerReference w:type="default" r:id="rId26"/>
      <w:footerReference w:type="first" r:id="rId2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DA8B2" w14:textId="77777777" w:rsidR="000F2B6B" w:rsidRDefault="000F2B6B" w:rsidP="00976982">
      <w:r>
        <w:separator/>
      </w:r>
    </w:p>
    <w:p w14:paraId="1BED8F2E" w14:textId="77777777" w:rsidR="000F2B6B" w:rsidRDefault="000F2B6B" w:rsidP="00976982"/>
  </w:endnote>
  <w:endnote w:type="continuationSeparator" w:id="0">
    <w:p w14:paraId="5D47662C" w14:textId="77777777" w:rsidR="000F2B6B" w:rsidRDefault="000F2B6B" w:rsidP="00976982">
      <w:r>
        <w:continuationSeparator/>
      </w:r>
    </w:p>
    <w:p w14:paraId="17279DF3" w14:textId="77777777" w:rsidR="000F2B6B" w:rsidRDefault="000F2B6B" w:rsidP="009769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3551026"/>
      <w:docPartObj>
        <w:docPartGallery w:val="Page Numbers (Bottom of Page)"/>
        <w:docPartUnique/>
      </w:docPartObj>
    </w:sdtPr>
    <w:sdtContent>
      <w:sdt>
        <w:sdtPr>
          <w:id w:val="-1806461091"/>
          <w:docPartObj>
            <w:docPartGallery w:val="Page Numbers (Top of Page)"/>
            <w:docPartUnique/>
          </w:docPartObj>
        </w:sdtPr>
        <w:sdtContent>
          <w:p w14:paraId="23927CDF" w14:textId="77777777" w:rsidR="00150EFB" w:rsidRDefault="00150EFB" w:rsidP="00976982">
            <w:pPr>
              <w:pStyle w:val="Footer"/>
            </w:pPr>
          </w:p>
          <w:p w14:paraId="1E44DFC4" w14:textId="2A1C87CD" w:rsidR="00866CA6" w:rsidRPr="00680D9C" w:rsidRDefault="00680D9C" w:rsidP="00976982">
            <w:pPr>
              <w:pStyle w:val="Footer"/>
              <w:rPr>
                <w:b/>
                <w:bCs/>
                <w:color w:val="E73E97"/>
              </w:rPr>
            </w:pPr>
            <w:r w:rsidRPr="006C1558">
              <w:rPr>
                <w:b/>
                <w:bCs/>
                <w:color w:val="E73E97"/>
              </w:rPr>
              <w:t>To be reviewed 15/11/26</w:t>
            </w:r>
            <w:r w:rsidRPr="006C1558">
              <w:rPr>
                <w:b/>
                <w:bCs/>
                <w:color w:val="E73E97"/>
              </w:rPr>
              <w:tab/>
            </w:r>
            <w:r w:rsidRPr="006C1558">
              <w:rPr>
                <w:b/>
                <w:bCs/>
                <w:color w:val="E73E97"/>
              </w:rPr>
              <w:tab/>
            </w:r>
            <w:sdt>
              <w:sdtPr>
                <w:rPr>
                  <w:b/>
                  <w:bCs/>
                  <w:color w:val="E73E97"/>
                </w:rPr>
                <w:id w:val="40256609"/>
                <w:docPartObj>
                  <w:docPartGallery w:val="Page Numbers (Top of Page)"/>
                  <w:docPartUnique/>
                </w:docPartObj>
              </w:sdtPr>
              <w:sdtContent>
                <w:r w:rsidRPr="006C1558">
                  <w:rPr>
                    <w:b/>
                    <w:bCs/>
                    <w:color w:val="E73E97"/>
                  </w:rPr>
                  <w:t xml:space="preserve">Page </w:t>
                </w:r>
                <w:r w:rsidRPr="006C1558">
                  <w:rPr>
                    <w:b/>
                    <w:bCs/>
                    <w:color w:val="E73E97"/>
                  </w:rPr>
                  <w:fldChar w:fldCharType="begin"/>
                </w:r>
                <w:r w:rsidRPr="006C1558">
                  <w:rPr>
                    <w:b/>
                    <w:bCs/>
                    <w:color w:val="E73E97"/>
                  </w:rPr>
                  <w:instrText xml:space="preserve"> PAGE </w:instrText>
                </w:r>
                <w:r w:rsidRPr="006C1558">
                  <w:rPr>
                    <w:b/>
                    <w:bCs/>
                    <w:color w:val="E73E97"/>
                  </w:rPr>
                  <w:fldChar w:fldCharType="separate"/>
                </w:r>
                <w:r>
                  <w:rPr>
                    <w:b/>
                    <w:bCs/>
                    <w:color w:val="E73E97"/>
                  </w:rPr>
                  <w:t>1</w:t>
                </w:r>
                <w:r w:rsidRPr="006C1558">
                  <w:rPr>
                    <w:b/>
                    <w:bCs/>
                    <w:color w:val="E73E97"/>
                  </w:rPr>
                  <w:fldChar w:fldCharType="end"/>
                </w:r>
              </w:sdtContent>
            </w:sdt>
          </w:p>
        </w:sdtContent>
      </w:sdt>
    </w:sdtContent>
  </w:sdt>
  <w:p w14:paraId="726560A3" w14:textId="77777777" w:rsidR="00866CA6" w:rsidRDefault="00866CA6" w:rsidP="009769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F9E7" w14:textId="1E63F2EA" w:rsidR="001B41CB" w:rsidRPr="006C1558" w:rsidRDefault="004F7451" w:rsidP="00976982">
    <w:pPr>
      <w:pStyle w:val="Footer"/>
      <w:rPr>
        <w:b/>
        <w:bCs/>
        <w:color w:val="E73E97"/>
      </w:rPr>
    </w:pPr>
    <w:r w:rsidRPr="006C1558">
      <w:rPr>
        <w:b/>
        <w:bCs/>
        <w:color w:val="E73E97"/>
      </w:rPr>
      <w:t>To be r</w:t>
    </w:r>
    <w:r w:rsidR="0005528B" w:rsidRPr="006C1558">
      <w:rPr>
        <w:b/>
        <w:bCs/>
        <w:color w:val="E73E97"/>
      </w:rPr>
      <w:t>eview</w:t>
    </w:r>
    <w:r w:rsidRPr="006C1558">
      <w:rPr>
        <w:b/>
        <w:bCs/>
        <w:color w:val="E73E97"/>
      </w:rPr>
      <w:t>ed</w:t>
    </w:r>
    <w:r w:rsidR="0005528B" w:rsidRPr="006C1558">
      <w:rPr>
        <w:b/>
        <w:bCs/>
        <w:color w:val="E73E97"/>
      </w:rPr>
      <w:t xml:space="preserve"> 15/11/2</w:t>
    </w:r>
    <w:r w:rsidRPr="006C1558">
      <w:rPr>
        <w:b/>
        <w:bCs/>
        <w:color w:val="E73E97"/>
      </w:rPr>
      <w:t>6</w:t>
    </w:r>
    <w:r w:rsidR="00ED64B2" w:rsidRPr="006C1558">
      <w:rPr>
        <w:b/>
        <w:bCs/>
        <w:color w:val="E73E97"/>
      </w:rPr>
      <w:tab/>
    </w:r>
    <w:r w:rsidR="00ED64B2" w:rsidRPr="006C1558">
      <w:rPr>
        <w:b/>
        <w:bCs/>
        <w:color w:val="E73E97"/>
      </w:rPr>
      <w:tab/>
    </w:r>
    <w:sdt>
      <w:sdtPr>
        <w:rPr>
          <w:b/>
          <w:bCs/>
          <w:color w:val="E73E97"/>
        </w:rPr>
        <w:id w:val="-1705238520"/>
        <w:docPartObj>
          <w:docPartGallery w:val="Page Numbers (Top of Page)"/>
          <w:docPartUnique/>
        </w:docPartObj>
      </w:sdtPr>
      <w:sdtContent>
        <w:r w:rsidR="00ED64B2" w:rsidRPr="006C1558">
          <w:rPr>
            <w:b/>
            <w:bCs/>
            <w:color w:val="E73E97"/>
          </w:rPr>
          <w:t xml:space="preserve">Page </w:t>
        </w:r>
        <w:r w:rsidR="00ED64B2" w:rsidRPr="006C1558">
          <w:rPr>
            <w:b/>
            <w:bCs/>
            <w:color w:val="E73E97"/>
          </w:rPr>
          <w:fldChar w:fldCharType="begin"/>
        </w:r>
        <w:r w:rsidR="00ED64B2" w:rsidRPr="006C1558">
          <w:rPr>
            <w:b/>
            <w:bCs/>
            <w:color w:val="E73E97"/>
          </w:rPr>
          <w:instrText xml:space="preserve"> PAGE </w:instrText>
        </w:r>
        <w:r w:rsidR="00ED64B2" w:rsidRPr="006C1558">
          <w:rPr>
            <w:b/>
            <w:bCs/>
            <w:color w:val="E73E97"/>
          </w:rPr>
          <w:fldChar w:fldCharType="separate"/>
        </w:r>
        <w:r w:rsidR="00ED64B2" w:rsidRPr="006C1558">
          <w:rPr>
            <w:b/>
            <w:bCs/>
            <w:color w:val="E73E97"/>
          </w:rPr>
          <w:t>1</w:t>
        </w:r>
        <w:r w:rsidR="00ED64B2" w:rsidRPr="006C1558">
          <w:rPr>
            <w:b/>
            <w:bCs/>
            <w:color w:val="E73E97"/>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64C51" w14:textId="77777777" w:rsidR="000F2B6B" w:rsidRDefault="000F2B6B" w:rsidP="00976982">
      <w:r>
        <w:separator/>
      </w:r>
    </w:p>
    <w:p w14:paraId="18BAA0AF" w14:textId="77777777" w:rsidR="000F2B6B" w:rsidRDefault="000F2B6B" w:rsidP="00976982"/>
  </w:footnote>
  <w:footnote w:type="continuationSeparator" w:id="0">
    <w:p w14:paraId="56750A70" w14:textId="77777777" w:rsidR="000F2B6B" w:rsidRDefault="000F2B6B" w:rsidP="00976982">
      <w:r>
        <w:continuationSeparator/>
      </w:r>
    </w:p>
    <w:p w14:paraId="631E5E00" w14:textId="77777777" w:rsidR="000F2B6B" w:rsidRDefault="000F2B6B" w:rsidP="009769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0D4"/>
    <w:multiLevelType w:val="hybridMultilevel"/>
    <w:tmpl w:val="0158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94D52"/>
    <w:multiLevelType w:val="hybridMultilevel"/>
    <w:tmpl w:val="EAEE61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47757F"/>
    <w:multiLevelType w:val="multilevel"/>
    <w:tmpl w:val="BCE41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51068"/>
    <w:multiLevelType w:val="hybridMultilevel"/>
    <w:tmpl w:val="32A2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A0030"/>
    <w:multiLevelType w:val="hybridMultilevel"/>
    <w:tmpl w:val="CFCA1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9F47BD8"/>
    <w:multiLevelType w:val="hybridMultilevel"/>
    <w:tmpl w:val="ADE8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881441"/>
    <w:multiLevelType w:val="hybridMultilevel"/>
    <w:tmpl w:val="48960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E964DF4"/>
    <w:multiLevelType w:val="hybridMultilevel"/>
    <w:tmpl w:val="84B0DF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572DCF"/>
    <w:multiLevelType w:val="hybridMultilevel"/>
    <w:tmpl w:val="254C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3160F"/>
    <w:multiLevelType w:val="multilevel"/>
    <w:tmpl w:val="ECB8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086329"/>
    <w:multiLevelType w:val="hybridMultilevel"/>
    <w:tmpl w:val="849CC910"/>
    <w:lvl w:ilvl="0" w:tplc="85E297E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E46487"/>
    <w:multiLevelType w:val="hybridMultilevel"/>
    <w:tmpl w:val="D95415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5CE388D"/>
    <w:multiLevelType w:val="hybridMultilevel"/>
    <w:tmpl w:val="1C1CB736"/>
    <w:lvl w:ilvl="0" w:tplc="08090001">
      <w:start w:val="1"/>
      <w:numFmt w:val="bullet"/>
      <w:lvlText w:val=""/>
      <w:lvlJc w:val="left"/>
      <w:pPr>
        <w:ind w:left="720" w:hanging="360"/>
      </w:pPr>
      <w:rPr>
        <w:rFonts w:ascii="Symbol" w:hAnsi="Symbol" w:hint="default"/>
        <w:color w:val="000000"/>
        <w:sz w:val="19"/>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CE7DDA"/>
    <w:multiLevelType w:val="hybridMultilevel"/>
    <w:tmpl w:val="BEFE8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17317"/>
    <w:multiLevelType w:val="hybridMultilevel"/>
    <w:tmpl w:val="19F8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E1086"/>
    <w:multiLevelType w:val="hybridMultilevel"/>
    <w:tmpl w:val="36607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7C559F2"/>
    <w:multiLevelType w:val="hybridMultilevel"/>
    <w:tmpl w:val="C3320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056EA7"/>
    <w:multiLevelType w:val="hybridMultilevel"/>
    <w:tmpl w:val="A5E00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962B7D"/>
    <w:multiLevelType w:val="hybridMultilevel"/>
    <w:tmpl w:val="1CC2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AB2780"/>
    <w:multiLevelType w:val="hybridMultilevel"/>
    <w:tmpl w:val="1DCA24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19D1475"/>
    <w:multiLevelType w:val="hybridMultilevel"/>
    <w:tmpl w:val="B04E2898"/>
    <w:lvl w:ilvl="0" w:tplc="A0624D9A">
      <w:start w:val="1"/>
      <w:numFmt w:val="decimal"/>
      <w:pStyle w:val="Heading3"/>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B30F1A"/>
    <w:multiLevelType w:val="hybridMultilevel"/>
    <w:tmpl w:val="1AC6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D621CD"/>
    <w:multiLevelType w:val="hybridMultilevel"/>
    <w:tmpl w:val="CE3C8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6040EE"/>
    <w:multiLevelType w:val="hybridMultilevel"/>
    <w:tmpl w:val="6F522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AF2094E"/>
    <w:multiLevelType w:val="hybridMultilevel"/>
    <w:tmpl w:val="469638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D411F8"/>
    <w:multiLevelType w:val="hybridMultilevel"/>
    <w:tmpl w:val="27986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F3748B"/>
    <w:multiLevelType w:val="hybridMultilevel"/>
    <w:tmpl w:val="9FE23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953786"/>
    <w:multiLevelType w:val="hybridMultilevel"/>
    <w:tmpl w:val="A8BC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654A7D"/>
    <w:multiLevelType w:val="hybridMultilevel"/>
    <w:tmpl w:val="BCCA49A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47BA5BE4"/>
    <w:multiLevelType w:val="hybridMultilevel"/>
    <w:tmpl w:val="1B6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5821A8"/>
    <w:multiLevelType w:val="hybridMultilevel"/>
    <w:tmpl w:val="C71A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35241B"/>
    <w:multiLevelType w:val="hybridMultilevel"/>
    <w:tmpl w:val="A6DE1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82264F"/>
    <w:multiLevelType w:val="hybridMultilevel"/>
    <w:tmpl w:val="C9461AF0"/>
    <w:lvl w:ilvl="0" w:tplc="4372E514">
      <w:start w:val="1"/>
      <w:numFmt w:val="lowerLetter"/>
      <w:lvlText w:val="(%1)"/>
      <w:lvlJc w:val="left"/>
      <w:pPr>
        <w:ind w:left="720" w:hanging="360"/>
      </w:pPr>
      <w:rPr>
        <w:rFonts w:ascii="Arial" w:hAnsi="Arial" w:cs="Arial" w:hint="default"/>
        <w:color w:val="00000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3327E74"/>
    <w:multiLevelType w:val="hybridMultilevel"/>
    <w:tmpl w:val="15E8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CC4ECE"/>
    <w:multiLevelType w:val="hybridMultilevel"/>
    <w:tmpl w:val="F3A8080C"/>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080" w:hanging="360"/>
      </w:pPr>
      <w:rPr>
        <w:rFonts w:ascii="Symbol" w:hAnsi="Symbol" w:hint="default"/>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55CC4D9B"/>
    <w:multiLevelType w:val="hybridMultilevel"/>
    <w:tmpl w:val="F9F8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987FEB"/>
    <w:multiLevelType w:val="hybridMultilevel"/>
    <w:tmpl w:val="4AF859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AD9132A"/>
    <w:multiLevelType w:val="hybridMultilevel"/>
    <w:tmpl w:val="C8AE63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0C2312E"/>
    <w:multiLevelType w:val="hybridMultilevel"/>
    <w:tmpl w:val="D1EE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EA0CC7"/>
    <w:multiLevelType w:val="hybridMultilevel"/>
    <w:tmpl w:val="C832B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7A61946"/>
    <w:multiLevelType w:val="hybridMultilevel"/>
    <w:tmpl w:val="C5B66166"/>
    <w:lvl w:ilvl="0" w:tplc="4372E514">
      <w:start w:val="1"/>
      <w:numFmt w:val="lowerLetter"/>
      <w:lvlText w:val="(%1)"/>
      <w:lvlJc w:val="left"/>
      <w:pPr>
        <w:ind w:left="720" w:hanging="360"/>
      </w:pPr>
      <w:rPr>
        <w:rFonts w:ascii="Arial" w:hAnsi="Arial" w:cs="Arial" w:hint="default"/>
        <w:color w:val="000000"/>
        <w:sz w:val="19"/>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7F14DCD"/>
    <w:multiLevelType w:val="hybridMultilevel"/>
    <w:tmpl w:val="EAA67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DA17FA"/>
    <w:multiLevelType w:val="hybridMultilevel"/>
    <w:tmpl w:val="EBEA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7E0CDD"/>
    <w:multiLevelType w:val="hybridMultilevel"/>
    <w:tmpl w:val="41FC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4A563D"/>
    <w:multiLevelType w:val="hybridMultilevel"/>
    <w:tmpl w:val="3288EC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5A63A80"/>
    <w:multiLevelType w:val="hybridMultilevel"/>
    <w:tmpl w:val="1A6CE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097E1F"/>
    <w:multiLevelType w:val="hybridMultilevel"/>
    <w:tmpl w:val="9C5268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83563A8"/>
    <w:multiLevelType w:val="hybridMultilevel"/>
    <w:tmpl w:val="DD104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B61E07"/>
    <w:multiLevelType w:val="hybridMultilevel"/>
    <w:tmpl w:val="6EA05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7995186">
    <w:abstractNumId w:val="35"/>
  </w:num>
  <w:num w:numId="2" w16cid:durableId="1581057795">
    <w:abstractNumId w:val="20"/>
  </w:num>
  <w:num w:numId="3" w16cid:durableId="76369155">
    <w:abstractNumId w:val="24"/>
  </w:num>
  <w:num w:numId="4" w16cid:durableId="2037923480">
    <w:abstractNumId w:val="10"/>
  </w:num>
  <w:num w:numId="5" w16cid:durableId="244805206">
    <w:abstractNumId w:val="13"/>
  </w:num>
  <w:num w:numId="6" w16cid:durableId="2122141693">
    <w:abstractNumId w:val="41"/>
  </w:num>
  <w:num w:numId="7" w16cid:durableId="765342757">
    <w:abstractNumId w:val="25"/>
  </w:num>
  <w:num w:numId="8" w16cid:durableId="1001196591">
    <w:abstractNumId w:val="32"/>
  </w:num>
  <w:num w:numId="9" w16cid:durableId="1347944596">
    <w:abstractNumId w:val="28"/>
  </w:num>
  <w:num w:numId="10" w16cid:durableId="121777471">
    <w:abstractNumId w:val="34"/>
  </w:num>
  <w:num w:numId="11" w16cid:durableId="819540005">
    <w:abstractNumId w:val="21"/>
  </w:num>
  <w:num w:numId="12" w16cid:durableId="2126078378">
    <w:abstractNumId w:val="48"/>
  </w:num>
  <w:num w:numId="13" w16cid:durableId="927346424">
    <w:abstractNumId w:val="17"/>
  </w:num>
  <w:num w:numId="14" w16cid:durableId="1406418631">
    <w:abstractNumId w:val="19"/>
  </w:num>
  <w:num w:numId="15" w16cid:durableId="4677105">
    <w:abstractNumId w:val="23"/>
  </w:num>
  <w:num w:numId="16" w16cid:durableId="479227697">
    <w:abstractNumId w:val="1"/>
  </w:num>
  <w:num w:numId="17" w16cid:durableId="1688483959">
    <w:abstractNumId w:val="44"/>
  </w:num>
  <w:num w:numId="18" w16cid:durableId="800342810">
    <w:abstractNumId w:val="8"/>
  </w:num>
  <w:num w:numId="19" w16cid:durableId="503132056">
    <w:abstractNumId w:val="4"/>
  </w:num>
  <w:num w:numId="20" w16cid:durableId="1247150218">
    <w:abstractNumId w:val="40"/>
  </w:num>
  <w:num w:numId="21" w16cid:durableId="737099333">
    <w:abstractNumId w:val="12"/>
  </w:num>
  <w:num w:numId="22" w16cid:durableId="226232742">
    <w:abstractNumId w:val="37"/>
  </w:num>
  <w:num w:numId="23" w16cid:durableId="792095664">
    <w:abstractNumId w:val="6"/>
  </w:num>
  <w:num w:numId="24" w16cid:durableId="454719058">
    <w:abstractNumId w:val="46"/>
  </w:num>
  <w:num w:numId="25" w16cid:durableId="261650949">
    <w:abstractNumId w:val="36"/>
  </w:num>
  <w:num w:numId="26" w16cid:durableId="1181890388">
    <w:abstractNumId w:val="38"/>
  </w:num>
  <w:num w:numId="27" w16cid:durableId="632104675">
    <w:abstractNumId w:val="11"/>
  </w:num>
  <w:num w:numId="28" w16cid:durableId="1391735860">
    <w:abstractNumId w:val="39"/>
  </w:num>
  <w:num w:numId="29" w16cid:durableId="638807344">
    <w:abstractNumId w:val="15"/>
  </w:num>
  <w:num w:numId="30" w16cid:durableId="178085911">
    <w:abstractNumId w:val="7"/>
  </w:num>
  <w:num w:numId="31" w16cid:durableId="19670146">
    <w:abstractNumId w:val="27"/>
  </w:num>
  <w:num w:numId="32" w16cid:durableId="47149795">
    <w:abstractNumId w:val="26"/>
  </w:num>
  <w:num w:numId="33" w16cid:durableId="214046535">
    <w:abstractNumId w:val="18"/>
  </w:num>
  <w:num w:numId="34" w16cid:durableId="669678856">
    <w:abstractNumId w:val="47"/>
  </w:num>
  <w:num w:numId="35" w16cid:durableId="1528830673">
    <w:abstractNumId w:val="5"/>
  </w:num>
  <w:num w:numId="36" w16cid:durableId="880246291">
    <w:abstractNumId w:val="42"/>
  </w:num>
  <w:num w:numId="37" w16cid:durableId="1085689404">
    <w:abstractNumId w:val="3"/>
  </w:num>
  <w:num w:numId="38" w16cid:durableId="1677535047">
    <w:abstractNumId w:val="0"/>
  </w:num>
  <w:num w:numId="39" w16cid:durableId="589897817">
    <w:abstractNumId w:val="22"/>
  </w:num>
  <w:num w:numId="40" w16cid:durableId="1854877661">
    <w:abstractNumId w:val="9"/>
  </w:num>
  <w:num w:numId="41" w16cid:durableId="648902639">
    <w:abstractNumId w:val="2"/>
  </w:num>
  <w:num w:numId="42" w16cid:durableId="478234535">
    <w:abstractNumId w:val="14"/>
  </w:num>
  <w:num w:numId="43" w16cid:durableId="1811821319">
    <w:abstractNumId w:val="30"/>
  </w:num>
  <w:num w:numId="44" w16cid:durableId="1374620964">
    <w:abstractNumId w:val="33"/>
  </w:num>
  <w:num w:numId="45" w16cid:durableId="1378817376">
    <w:abstractNumId w:val="16"/>
  </w:num>
  <w:num w:numId="46" w16cid:durableId="1582330432">
    <w:abstractNumId w:val="31"/>
  </w:num>
  <w:num w:numId="47" w16cid:durableId="230163397">
    <w:abstractNumId w:val="29"/>
  </w:num>
  <w:num w:numId="48" w16cid:durableId="1924993184">
    <w:abstractNumId w:val="45"/>
  </w:num>
  <w:num w:numId="49" w16cid:durableId="1227374942">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06"/>
    <w:rsid w:val="00005016"/>
    <w:rsid w:val="0000654D"/>
    <w:rsid w:val="00010C7B"/>
    <w:rsid w:val="00036EB3"/>
    <w:rsid w:val="00045073"/>
    <w:rsid w:val="00045C4D"/>
    <w:rsid w:val="0005128E"/>
    <w:rsid w:val="0005528B"/>
    <w:rsid w:val="00077D20"/>
    <w:rsid w:val="000914AA"/>
    <w:rsid w:val="00092746"/>
    <w:rsid w:val="00093209"/>
    <w:rsid w:val="0009712F"/>
    <w:rsid w:val="000A103A"/>
    <w:rsid w:val="000A1688"/>
    <w:rsid w:val="000B0AEC"/>
    <w:rsid w:val="000B1F3C"/>
    <w:rsid w:val="000C30C7"/>
    <w:rsid w:val="000D2910"/>
    <w:rsid w:val="000D2BD0"/>
    <w:rsid w:val="000E65D1"/>
    <w:rsid w:val="000F2B6B"/>
    <w:rsid w:val="000F52DF"/>
    <w:rsid w:val="000F6C1F"/>
    <w:rsid w:val="001033B3"/>
    <w:rsid w:val="00113A46"/>
    <w:rsid w:val="00145538"/>
    <w:rsid w:val="00146719"/>
    <w:rsid w:val="001508AD"/>
    <w:rsid w:val="00150EFB"/>
    <w:rsid w:val="00181073"/>
    <w:rsid w:val="00190CF4"/>
    <w:rsid w:val="0019639A"/>
    <w:rsid w:val="001A0039"/>
    <w:rsid w:val="001B11E6"/>
    <w:rsid w:val="001B258E"/>
    <w:rsid w:val="001B41CB"/>
    <w:rsid w:val="001D1604"/>
    <w:rsid w:val="001D612F"/>
    <w:rsid w:val="00200DD7"/>
    <w:rsid w:val="002038C8"/>
    <w:rsid w:val="002043CF"/>
    <w:rsid w:val="00205C1A"/>
    <w:rsid w:val="00206F62"/>
    <w:rsid w:val="002071A7"/>
    <w:rsid w:val="0020722C"/>
    <w:rsid w:val="00221D09"/>
    <w:rsid w:val="00244FCA"/>
    <w:rsid w:val="00250A9E"/>
    <w:rsid w:val="00272B09"/>
    <w:rsid w:val="002765E2"/>
    <w:rsid w:val="00283624"/>
    <w:rsid w:val="00284C2D"/>
    <w:rsid w:val="00284D93"/>
    <w:rsid w:val="00296723"/>
    <w:rsid w:val="002A5D36"/>
    <w:rsid w:val="002B3D4C"/>
    <w:rsid w:val="002C2AEE"/>
    <w:rsid w:val="002C4463"/>
    <w:rsid w:val="002C7241"/>
    <w:rsid w:val="002D5883"/>
    <w:rsid w:val="002E16EE"/>
    <w:rsid w:val="00301AEA"/>
    <w:rsid w:val="00306B7A"/>
    <w:rsid w:val="003165D5"/>
    <w:rsid w:val="00317830"/>
    <w:rsid w:val="00332886"/>
    <w:rsid w:val="003415B8"/>
    <w:rsid w:val="0037244A"/>
    <w:rsid w:val="0037606C"/>
    <w:rsid w:val="00382391"/>
    <w:rsid w:val="0038703A"/>
    <w:rsid w:val="00396E7C"/>
    <w:rsid w:val="00396EF3"/>
    <w:rsid w:val="00397C62"/>
    <w:rsid w:val="003A5ECB"/>
    <w:rsid w:val="003A7844"/>
    <w:rsid w:val="003B0578"/>
    <w:rsid w:val="003B0D07"/>
    <w:rsid w:val="003B2296"/>
    <w:rsid w:val="003B3821"/>
    <w:rsid w:val="003B7B20"/>
    <w:rsid w:val="003C417A"/>
    <w:rsid w:val="003E022D"/>
    <w:rsid w:val="003E526F"/>
    <w:rsid w:val="003F1DBC"/>
    <w:rsid w:val="003F2BAE"/>
    <w:rsid w:val="00402A74"/>
    <w:rsid w:val="00411030"/>
    <w:rsid w:val="00417DB4"/>
    <w:rsid w:val="004207B5"/>
    <w:rsid w:val="00422114"/>
    <w:rsid w:val="00426B16"/>
    <w:rsid w:val="00440A86"/>
    <w:rsid w:val="00441A38"/>
    <w:rsid w:val="004449B2"/>
    <w:rsid w:val="00453FC7"/>
    <w:rsid w:val="00471FD2"/>
    <w:rsid w:val="00474F99"/>
    <w:rsid w:val="004917BF"/>
    <w:rsid w:val="004A27D0"/>
    <w:rsid w:val="004A381E"/>
    <w:rsid w:val="004A505F"/>
    <w:rsid w:val="004A6C8E"/>
    <w:rsid w:val="004B063C"/>
    <w:rsid w:val="004D6A6D"/>
    <w:rsid w:val="004E6A8D"/>
    <w:rsid w:val="004E777A"/>
    <w:rsid w:val="004F18EF"/>
    <w:rsid w:val="004F7451"/>
    <w:rsid w:val="0050094B"/>
    <w:rsid w:val="00516D08"/>
    <w:rsid w:val="00516F31"/>
    <w:rsid w:val="0052620D"/>
    <w:rsid w:val="005315EF"/>
    <w:rsid w:val="00536057"/>
    <w:rsid w:val="005439A2"/>
    <w:rsid w:val="005463AF"/>
    <w:rsid w:val="0055017B"/>
    <w:rsid w:val="00555627"/>
    <w:rsid w:val="00595FEA"/>
    <w:rsid w:val="005A6892"/>
    <w:rsid w:val="005D69E5"/>
    <w:rsid w:val="005D7CD3"/>
    <w:rsid w:val="005F10FA"/>
    <w:rsid w:val="005F3588"/>
    <w:rsid w:val="006034C2"/>
    <w:rsid w:val="00616B9D"/>
    <w:rsid w:val="00624838"/>
    <w:rsid w:val="00636276"/>
    <w:rsid w:val="006470B8"/>
    <w:rsid w:val="00647331"/>
    <w:rsid w:val="0065401C"/>
    <w:rsid w:val="006763E1"/>
    <w:rsid w:val="00680D9C"/>
    <w:rsid w:val="00690C67"/>
    <w:rsid w:val="006A0986"/>
    <w:rsid w:val="006A6C3C"/>
    <w:rsid w:val="006C1558"/>
    <w:rsid w:val="006C426B"/>
    <w:rsid w:val="006C5E91"/>
    <w:rsid w:val="006D238F"/>
    <w:rsid w:val="006D2E01"/>
    <w:rsid w:val="006D6AF8"/>
    <w:rsid w:val="006E4924"/>
    <w:rsid w:val="006F09CD"/>
    <w:rsid w:val="006F4247"/>
    <w:rsid w:val="007106A3"/>
    <w:rsid w:val="007124BA"/>
    <w:rsid w:val="00712A91"/>
    <w:rsid w:val="00717EC2"/>
    <w:rsid w:val="00730AA7"/>
    <w:rsid w:val="00732F5A"/>
    <w:rsid w:val="00736BB7"/>
    <w:rsid w:val="0074591F"/>
    <w:rsid w:val="00752175"/>
    <w:rsid w:val="00752B42"/>
    <w:rsid w:val="007741FA"/>
    <w:rsid w:val="007767D1"/>
    <w:rsid w:val="00777ED6"/>
    <w:rsid w:val="00781214"/>
    <w:rsid w:val="00782151"/>
    <w:rsid w:val="0078313A"/>
    <w:rsid w:val="00783577"/>
    <w:rsid w:val="007909EC"/>
    <w:rsid w:val="00791A82"/>
    <w:rsid w:val="00792054"/>
    <w:rsid w:val="0079463C"/>
    <w:rsid w:val="00796DCC"/>
    <w:rsid w:val="00797985"/>
    <w:rsid w:val="007B530F"/>
    <w:rsid w:val="007B5B7B"/>
    <w:rsid w:val="007C3A7E"/>
    <w:rsid w:val="007F0F0C"/>
    <w:rsid w:val="00820C9F"/>
    <w:rsid w:val="008214FB"/>
    <w:rsid w:val="00826912"/>
    <w:rsid w:val="00831B29"/>
    <w:rsid w:val="00864DDD"/>
    <w:rsid w:val="00866CA6"/>
    <w:rsid w:val="00873A77"/>
    <w:rsid w:val="00876671"/>
    <w:rsid w:val="008818A5"/>
    <w:rsid w:val="008828D2"/>
    <w:rsid w:val="00895B65"/>
    <w:rsid w:val="00896429"/>
    <w:rsid w:val="008A3979"/>
    <w:rsid w:val="008B37FD"/>
    <w:rsid w:val="008D3187"/>
    <w:rsid w:val="008D5AE0"/>
    <w:rsid w:val="008E143E"/>
    <w:rsid w:val="008F1A7C"/>
    <w:rsid w:val="008F4004"/>
    <w:rsid w:val="00902A13"/>
    <w:rsid w:val="00904241"/>
    <w:rsid w:val="009054C1"/>
    <w:rsid w:val="00940A60"/>
    <w:rsid w:val="00945961"/>
    <w:rsid w:val="009640B2"/>
    <w:rsid w:val="0096656B"/>
    <w:rsid w:val="00970382"/>
    <w:rsid w:val="00975ED7"/>
    <w:rsid w:val="00976982"/>
    <w:rsid w:val="00991DA4"/>
    <w:rsid w:val="009A1344"/>
    <w:rsid w:val="009A3E9A"/>
    <w:rsid w:val="009A44A2"/>
    <w:rsid w:val="009B1B60"/>
    <w:rsid w:val="009B6843"/>
    <w:rsid w:val="009C6334"/>
    <w:rsid w:val="009D7C6F"/>
    <w:rsid w:val="00A10288"/>
    <w:rsid w:val="00A218DC"/>
    <w:rsid w:val="00A21DE9"/>
    <w:rsid w:val="00A33CBB"/>
    <w:rsid w:val="00A34E8D"/>
    <w:rsid w:val="00A37479"/>
    <w:rsid w:val="00A374A0"/>
    <w:rsid w:val="00A461DA"/>
    <w:rsid w:val="00A54C24"/>
    <w:rsid w:val="00A6362D"/>
    <w:rsid w:val="00A72F2E"/>
    <w:rsid w:val="00AA4D7F"/>
    <w:rsid w:val="00AB1913"/>
    <w:rsid w:val="00AB46C0"/>
    <w:rsid w:val="00AB7B21"/>
    <w:rsid w:val="00AC086A"/>
    <w:rsid w:val="00AC3B7F"/>
    <w:rsid w:val="00AD0F5E"/>
    <w:rsid w:val="00AD3A04"/>
    <w:rsid w:val="00B15314"/>
    <w:rsid w:val="00B21892"/>
    <w:rsid w:val="00B26390"/>
    <w:rsid w:val="00B41CB4"/>
    <w:rsid w:val="00B43C68"/>
    <w:rsid w:val="00B478C3"/>
    <w:rsid w:val="00B5619A"/>
    <w:rsid w:val="00B61FA2"/>
    <w:rsid w:val="00B625C7"/>
    <w:rsid w:val="00B8759D"/>
    <w:rsid w:val="00B92EC4"/>
    <w:rsid w:val="00B95CB6"/>
    <w:rsid w:val="00BB2E9E"/>
    <w:rsid w:val="00BC47C5"/>
    <w:rsid w:val="00BD1200"/>
    <w:rsid w:val="00BD2530"/>
    <w:rsid w:val="00BD3077"/>
    <w:rsid w:val="00BD37BC"/>
    <w:rsid w:val="00BE1494"/>
    <w:rsid w:val="00BE4C46"/>
    <w:rsid w:val="00BE76AB"/>
    <w:rsid w:val="00BF36BA"/>
    <w:rsid w:val="00BF4CAD"/>
    <w:rsid w:val="00BF6763"/>
    <w:rsid w:val="00C006E5"/>
    <w:rsid w:val="00C17D78"/>
    <w:rsid w:val="00C33E79"/>
    <w:rsid w:val="00C3516B"/>
    <w:rsid w:val="00C37CA9"/>
    <w:rsid w:val="00C37CBC"/>
    <w:rsid w:val="00C52D6F"/>
    <w:rsid w:val="00C55F10"/>
    <w:rsid w:val="00C56CA7"/>
    <w:rsid w:val="00C61637"/>
    <w:rsid w:val="00C731CF"/>
    <w:rsid w:val="00C73A02"/>
    <w:rsid w:val="00CA08E2"/>
    <w:rsid w:val="00CC1699"/>
    <w:rsid w:val="00CF49DD"/>
    <w:rsid w:val="00D0105D"/>
    <w:rsid w:val="00D0307E"/>
    <w:rsid w:val="00D06373"/>
    <w:rsid w:val="00D1584E"/>
    <w:rsid w:val="00D232C7"/>
    <w:rsid w:val="00D4434C"/>
    <w:rsid w:val="00D45AE6"/>
    <w:rsid w:val="00D50538"/>
    <w:rsid w:val="00D5196B"/>
    <w:rsid w:val="00D55208"/>
    <w:rsid w:val="00D60C70"/>
    <w:rsid w:val="00D64C33"/>
    <w:rsid w:val="00D72A35"/>
    <w:rsid w:val="00D916D7"/>
    <w:rsid w:val="00DA1002"/>
    <w:rsid w:val="00DA6106"/>
    <w:rsid w:val="00DD055A"/>
    <w:rsid w:val="00DD0FB7"/>
    <w:rsid w:val="00DD26D0"/>
    <w:rsid w:val="00DD4E00"/>
    <w:rsid w:val="00DD7AB8"/>
    <w:rsid w:val="00DE2771"/>
    <w:rsid w:val="00DE30C1"/>
    <w:rsid w:val="00DE3281"/>
    <w:rsid w:val="00DE4213"/>
    <w:rsid w:val="00DF47B6"/>
    <w:rsid w:val="00E00B4E"/>
    <w:rsid w:val="00E021C1"/>
    <w:rsid w:val="00E045D6"/>
    <w:rsid w:val="00E0747D"/>
    <w:rsid w:val="00E079ED"/>
    <w:rsid w:val="00E11B33"/>
    <w:rsid w:val="00E2341A"/>
    <w:rsid w:val="00E304BE"/>
    <w:rsid w:val="00E379F8"/>
    <w:rsid w:val="00E55376"/>
    <w:rsid w:val="00E6673C"/>
    <w:rsid w:val="00E84976"/>
    <w:rsid w:val="00E90157"/>
    <w:rsid w:val="00EC6C19"/>
    <w:rsid w:val="00ED0F17"/>
    <w:rsid w:val="00ED2257"/>
    <w:rsid w:val="00ED64B2"/>
    <w:rsid w:val="00EE09FB"/>
    <w:rsid w:val="00EE33B2"/>
    <w:rsid w:val="00EE5FFD"/>
    <w:rsid w:val="00EF77A9"/>
    <w:rsid w:val="00F01EC7"/>
    <w:rsid w:val="00F06069"/>
    <w:rsid w:val="00F14138"/>
    <w:rsid w:val="00F15E19"/>
    <w:rsid w:val="00F21573"/>
    <w:rsid w:val="00F230B9"/>
    <w:rsid w:val="00F25D8A"/>
    <w:rsid w:val="00F325DF"/>
    <w:rsid w:val="00F3302F"/>
    <w:rsid w:val="00F40E1B"/>
    <w:rsid w:val="00F51564"/>
    <w:rsid w:val="00F574DD"/>
    <w:rsid w:val="00F86707"/>
    <w:rsid w:val="00FA2F03"/>
    <w:rsid w:val="00FC3120"/>
    <w:rsid w:val="00FC4180"/>
    <w:rsid w:val="00FD2A86"/>
    <w:rsid w:val="00FE6AE2"/>
    <w:rsid w:val="00FE6BFE"/>
    <w:rsid w:val="00FF2499"/>
    <w:rsid w:val="00FF5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19615"/>
  <w15:docId w15:val="{3D1E2404-3342-4BD0-844C-1C48A560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982"/>
    <w:rPr>
      <w:rFonts w:ascii="Century Gothic" w:hAnsi="Century Gothic"/>
    </w:rPr>
  </w:style>
  <w:style w:type="paragraph" w:styleId="Heading1">
    <w:name w:val="heading 1"/>
    <w:basedOn w:val="Normal"/>
    <w:next w:val="Normal"/>
    <w:link w:val="Heading1Char"/>
    <w:uiPriority w:val="9"/>
    <w:qFormat/>
    <w:rsid w:val="00A33CBB"/>
    <w:pPr>
      <w:keepNext/>
      <w:keepLines/>
      <w:pageBreakBefore/>
      <w:spacing w:before="240" w:after="0"/>
      <w:outlineLvl w:val="0"/>
    </w:pPr>
    <w:rPr>
      <w:rFonts w:eastAsiaTheme="majorEastAsia"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CF49DD"/>
    <w:pPr>
      <w:keepNext/>
      <w:keepLines/>
      <w:spacing w:before="40" w:after="0"/>
      <w:outlineLvl w:val="1"/>
    </w:pPr>
    <w:rPr>
      <w:rFonts w:eastAsiaTheme="majorEastAsia" w:cstheme="majorBidi"/>
      <w:b/>
      <w:bCs/>
      <w:color w:val="7FCBEB"/>
      <w:sz w:val="28"/>
      <w:szCs w:val="28"/>
    </w:rPr>
  </w:style>
  <w:style w:type="paragraph" w:styleId="Heading3">
    <w:name w:val="heading 3"/>
    <w:basedOn w:val="ListParagraph"/>
    <w:next w:val="Normal"/>
    <w:link w:val="Heading3Char"/>
    <w:uiPriority w:val="9"/>
    <w:unhideWhenUsed/>
    <w:qFormat/>
    <w:rsid w:val="00BE1494"/>
    <w:pPr>
      <w:keepNext/>
      <w:numPr>
        <w:numId w:val="2"/>
      </w:numPr>
      <w:ind w:left="714" w:hanging="357"/>
      <w:outlineLvl w:val="2"/>
    </w:pPr>
    <w:rPr>
      <w:b/>
      <w:bCs/>
    </w:rPr>
  </w:style>
  <w:style w:type="paragraph" w:styleId="Heading4">
    <w:name w:val="heading 4"/>
    <w:basedOn w:val="Heading3"/>
    <w:next w:val="Normal"/>
    <w:link w:val="Heading4Char"/>
    <w:uiPriority w:val="9"/>
    <w:unhideWhenUsed/>
    <w:qFormat/>
    <w:rsid w:val="00A218DC"/>
    <w:pPr>
      <w:numPr>
        <w:numId w:val="0"/>
      </w:numPr>
      <w:spacing w:before="240"/>
      <w:ind w:left="357"/>
      <w:outlineLvl w:val="3"/>
    </w:pPr>
    <w:rPr>
      <w:color w:val="004F6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0538"/>
    <w:pPr>
      <w:spacing w:after="0" w:line="240" w:lineRule="auto"/>
      <w:contextualSpacing/>
    </w:pPr>
    <w:rPr>
      <w:rFonts w:eastAsiaTheme="majorEastAsia" w:cstheme="majorBidi"/>
      <w:b/>
      <w:bCs/>
      <w:spacing w:val="-10"/>
      <w:kern w:val="28"/>
      <w:sz w:val="36"/>
      <w:szCs w:val="36"/>
    </w:rPr>
  </w:style>
  <w:style w:type="character" w:customStyle="1" w:styleId="TitleChar">
    <w:name w:val="Title Char"/>
    <w:basedOn w:val="DefaultParagraphFont"/>
    <w:link w:val="Title"/>
    <w:uiPriority w:val="10"/>
    <w:rsid w:val="00D50538"/>
    <w:rPr>
      <w:rFonts w:ascii="Century Gothic" w:eastAsiaTheme="majorEastAsia" w:hAnsi="Century Gothic" w:cstheme="majorBidi"/>
      <w:b/>
      <w:bCs/>
      <w:spacing w:val="-10"/>
      <w:kern w:val="28"/>
      <w:sz w:val="36"/>
      <w:szCs w:val="36"/>
    </w:rPr>
  </w:style>
  <w:style w:type="character" w:customStyle="1" w:styleId="Heading1Char">
    <w:name w:val="Heading 1 Char"/>
    <w:basedOn w:val="DefaultParagraphFont"/>
    <w:link w:val="Heading1"/>
    <w:uiPriority w:val="9"/>
    <w:rsid w:val="00A33CBB"/>
    <w:rPr>
      <w:rFonts w:ascii="Century Gothic" w:eastAsiaTheme="majorEastAsia" w:hAnsi="Century Gothic" w:cstheme="majorBidi"/>
      <w:b/>
      <w:bCs/>
      <w:color w:val="2F5496" w:themeColor="accent1" w:themeShade="BF"/>
      <w:sz w:val="32"/>
      <w:szCs w:val="32"/>
    </w:rPr>
  </w:style>
  <w:style w:type="character" w:customStyle="1" w:styleId="Heading2Char">
    <w:name w:val="Heading 2 Char"/>
    <w:basedOn w:val="DefaultParagraphFont"/>
    <w:link w:val="Heading2"/>
    <w:uiPriority w:val="9"/>
    <w:rsid w:val="00CF49DD"/>
    <w:rPr>
      <w:rFonts w:ascii="Century Gothic" w:eastAsiaTheme="majorEastAsia" w:hAnsi="Century Gothic" w:cstheme="majorBidi"/>
      <w:b/>
      <w:bCs/>
      <w:color w:val="7FCBEB"/>
      <w:sz w:val="28"/>
      <w:szCs w:val="28"/>
    </w:rPr>
  </w:style>
  <w:style w:type="character" w:customStyle="1" w:styleId="Heading3Char">
    <w:name w:val="Heading 3 Char"/>
    <w:basedOn w:val="DefaultParagraphFont"/>
    <w:link w:val="Heading3"/>
    <w:uiPriority w:val="9"/>
    <w:rsid w:val="00BE1494"/>
    <w:rPr>
      <w:rFonts w:ascii="Century Gothic" w:hAnsi="Century Gothic"/>
      <w:b/>
      <w:bCs/>
    </w:rPr>
  </w:style>
  <w:style w:type="paragraph" w:styleId="ListParagraph">
    <w:name w:val="List Paragraph"/>
    <w:basedOn w:val="Normal"/>
    <w:uiPriority w:val="34"/>
    <w:qFormat/>
    <w:rsid w:val="00752B42"/>
    <w:pPr>
      <w:ind w:left="720"/>
      <w:contextualSpacing/>
    </w:pPr>
  </w:style>
  <w:style w:type="character" w:styleId="CommentReference">
    <w:name w:val="annotation reference"/>
    <w:basedOn w:val="DefaultParagraphFont"/>
    <w:uiPriority w:val="99"/>
    <w:semiHidden/>
    <w:unhideWhenUsed/>
    <w:rsid w:val="0037244A"/>
    <w:rPr>
      <w:sz w:val="16"/>
      <w:szCs w:val="16"/>
    </w:rPr>
  </w:style>
  <w:style w:type="paragraph" w:styleId="CommentText">
    <w:name w:val="annotation text"/>
    <w:basedOn w:val="Normal"/>
    <w:link w:val="CommentTextChar"/>
    <w:uiPriority w:val="99"/>
    <w:unhideWhenUsed/>
    <w:rsid w:val="0037244A"/>
    <w:pPr>
      <w:spacing w:line="240" w:lineRule="auto"/>
    </w:pPr>
    <w:rPr>
      <w:sz w:val="20"/>
      <w:szCs w:val="20"/>
    </w:rPr>
  </w:style>
  <w:style w:type="character" w:customStyle="1" w:styleId="CommentTextChar">
    <w:name w:val="Comment Text Char"/>
    <w:basedOn w:val="DefaultParagraphFont"/>
    <w:link w:val="CommentText"/>
    <w:uiPriority w:val="99"/>
    <w:rsid w:val="0037244A"/>
    <w:rPr>
      <w:sz w:val="20"/>
      <w:szCs w:val="20"/>
    </w:rPr>
  </w:style>
  <w:style w:type="paragraph" w:styleId="CommentSubject">
    <w:name w:val="annotation subject"/>
    <w:basedOn w:val="CommentText"/>
    <w:next w:val="CommentText"/>
    <w:link w:val="CommentSubjectChar"/>
    <w:uiPriority w:val="99"/>
    <w:semiHidden/>
    <w:unhideWhenUsed/>
    <w:rsid w:val="0037244A"/>
    <w:rPr>
      <w:b/>
      <w:bCs/>
    </w:rPr>
  </w:style>
  <w:style w:type="character" w:customStyle="1" w:styleId="CommentSubjectChar">
    <w:name w:val="Comment Subject Char"/>
    <w:basedOn w:val="CommentTextChar"/>
    <w:link w:val="CommentSubject"/>
    <w:uiPriority w:val="99"/>
    <w:semiHidden/>
    <w:rsid w:val="0037244A"/>
    <w:rPr>
      <w:b/>
      <w:bCs/>
      <w:sz w:val="20"/>
      <w:szCs w:val="20"/>
    </w:rPr>
  </w:style>
  <w:style w:type="paragraph" w:styleId="TOC1">
    <w:name w:val="toc 1"/>
    <w:basedOn w:val="Normal"/>
    <w:next w:val="Normal"/>
    <w:autoRedefine/>
    <w:uiPriority w:val="39"/>
    <w:unhideWhenUsed/>
    <w:rsid w:val="00864DDD"/>
    <w:pPr>
      <w:tabs>
        <w:tab w:val="right" w:leader="dot" w:pos="9016"/>
      </w:tabs>
      <w:spacing w:after="100"/>
    </w:pPr>
    <w:rPr>
      <w:b/>
      <w:bCs/>
      <w:noProof/>
      <w:color w:val="E73E97"/>
      <w:sz w:val="28"/>
      <w:szCs w:val="28"/>
    </w:rPr>
  </w:style>
  <w:style w:type="paragraph" w:styleId="TOC2">
    <w:name w:val="toc 2"/>
    <w:basedOn w:val="Normal"/>
    <w:next w:val="Normal"/>
    <w:autoRedefine/>
    <w:uiPriority w:val="39"/>
    <w:unhideWhenUsed/>
    <w:rsid w:val="009B6843"/>
    <w:pPr>
      <w:spacing w:after="100"/>
      <w:ind w:left="220"/>
    </w:pPr>
  </w:style>
  <w:style w:type="character" w:styleId="Hyperlink">
    <w:name w:val="Hyperlink"/>
    <w:basedOn w:val="DefaultParagraphFont"/>
    <w:uiPriority w:val="99"/>
    <w:unhideWhenUsed/>
    <w:rsid w:val="009B6843"/>
    <w:rPr>
      <w:color w:val="0563C1" w:themeColor="hyperlink"/>
      <w:u w:val="single"/>
    </w:rPr>
  </w:style>
  <w:style w:type="paragraph" w:styleId="Header">
    <w:name w:val="header"/>
    <w:basedOn w:val="Normal"/>
    <w:link w:val="HeaderChar"/>
    <w:uiPriority w:val="99"/>
    <w:unhideWhenUsed/>
    <w:rsid w:val="001B4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1CB"/>
  </w:style>
  <w:style w:type="paragraph" w:styleId="Footer">
    <w:name w:val="footer"/>
    <w:basedOn w:val="Normal"/>
    <w:link w:val="FooterChar"/>
    <w:uiPriority w:val="99"/>
    <w:unhideWhenUsed/>
    <w:rsid w:val="001B4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1CB"/>
  </w:style>
  <w:style w:type="character" w:styleId="PlaceholderText">
    <w:name w:val="Placeholder Text"/>
    <w:basedOn w:val="DefaultParagraphFont"/>
    <w:uiPriority w:val="99"/>
    <w:semiHidden/>
    <w:rsid w:val="001B41CB"/>
    <w:rPr>
      <w:color w:val="808080"/>
    </w:rPr>
  </w:style>
  <w:style w:type="paragraph" w:customStyle="1" w:styleId="legclearfix">
    <w:name w:val="legclearfix"/>
    <w:basedOn w:val="Normal"/>
    <w:rsid w:val="002072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20722C"/>
  </w:style>
  <w:style w:type="character" w:customStyle="1" w:styleId="legterm">
    <w:name w:val="legterm"/>
    <w:basedOn w:val="DefaultParagraphFont"/>
    <w:rsid w:val="0020722C"/>
  </w:style>
  <w:style w:type="character" w:styleId="UnresolvedMention">
    <w:name w:val="Unresolved Mention"/>
    <w:basedOn w:val="DefaultParagraphFont"/>
    <w:uiPriority w:val="99"/>
    <w:semiHidden/>
    <w:unhideWhenUsed/>
    <w:rsid w:val="008D5AE0"/>
    <w:rPr>
      <w:color w:val="605E5C"/>
      <w:shd w:val="clear" w:color="auto" w:fill="E1DFDD"/>
    </w:rPr>
  </w:style>
  <w:style w:type="paragraph" w:styleId="FootnoteText">
    <w:name w:val="footnote text"/>
    <w:basedOn w:val="Normal"/>
    <w:link w:val="FootnoteTextChar"/>
    <w:uiPriority w:val="99"/>
    <w:unhideWhenUsed/>
    <w:rsid w:val="00D232C7"/>
    <w:pPr>
      <w:spacing w:after="0" w:line="240" w:lineRule="auto"/>
    </w:pPr>
    <w:rPr>
      <w:sz w:val="20"/>
      <w:szCs w:val="20"/>
    </w:rPr>
  </w:style>
  <w:style w:type="character" w:customStyle="1" w:styleId="FootnoteTextChar">
    <w:name w:val="Footnote Text Char"/>
    <w:basedOn w:val="DefaultParagraphFont"/>
    <w:link w:val="FootnoteText"/>
    <w:uiPriority w:val="99"/>
    <w:rsid w:val="00D232C7"/>
    <w:rPr>
      <w:sz w:val="20"/>
      <w:szCs w:val="20"/>
    </w:rPr>
  </w:style>
  <w:style w:type="character" w:styleId="FootnoteReference">
    <w:name w:val="footnote reference"/>
    <w:basedOn w:val="DefaultParagraphFont"/>
    <w:uiPriority w:val="99"/>
    <w:semiHidden/>
    <w:unhideWhenUsed/>
    <w:rsid w:val="00D232C7"/>
    <w:rPr>
      <w:vertAlign w:val="superscript"/>
    </w:rPr>
  </w:style>
  <w:style w:type="table" w:styleId="TableGrid">
    <w:name w:val="Table Grid"/>
    <w:basedOn w:val="TableNormal"/>
    <w:uiPriority w:val="39"/>
    <w:rsid w:val="00045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28D2"/>
    <w:pPr>
      <w:spacing w:after="0" w:line="240" w:lineRule="auto"/>
    </w:pPr>
  </w:style>
  <w:style w:type="character" w:customStyle="1" w:styleId="Heading4Char">
    <w:name w:val="Heading 4 Char"/>
    <w:basedOn w:val="DefaultParagraphFont"/>
    <w:link w:val="Heading4"/>
    <w:uiPriority w:val="9"/>
    <w:rsid w:val="00A218DC"/>
    <w:rPr>
      <w:rFonts w:ascii="Century Gothic" w:hAnsi="Century Gothic"/>
      <w:b/>
      <w:bCs/>
      <w:color w:val="004F6B"/>
    </w:rPr>
  </w:style>
  <w:style w:type="paragraph" w:styleId="NormalWeb">
    <w:name w:val="Normal (Web)"/>
    <w:basedOn w:val="Normal"/>
    <w:uiPriority w:val="99"/>
    <w:unhideWhenUsed/>
    <w:rsid w:val="006362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02A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4196">
      <w:bodyDiv w:val="1"/>
      <w:marLeft w:val="0"/>
      <w:marRight w:val="0"/>
      <w:marTop w:val="0"/>
      <w:marBottom w:val="0"/>
      <w:divBdr>
        <w:top w:val="none" w:sz="0" w:space="0" w:color="auto"/>
        <w:left w:val="none" w:sz="0" w:space="0" w:color="auto"/>
        <w:bottom w:val="none" w:sz="0" w:space="0" w:color="auto"/>
        <w:right w:val="none" w:sz="0" w:space="0" w:color="auto"/>
      </w:divBdr>
    </w:div>
    <w:div w:id="318660359">
      <w:bodyDiv w:val="1"/>
      <w:marLeft w:val="0"/>
      <w:marRight w:val="0"/>
      <w:marTop w:val="0"/>
      <w:marBottom w:val="0"/>
      <w:divBdr>
        <w:top w:val="none" w:sz="0" w:space="0" w:color="auto"/>
        <w:left w:val="none" w:sz="0" w:space="0" w:color="auto"/>
        <w:bottom w:val="none" w:sz="0" w:space="0" w:color="auto"/>
        <w:right w:val="none" w:sz="0" w:space="0" w:color="auto"/>
      </w:divBdr>
    </w:div>
    <w:div w:id="604969320">
      <w:bodyDiv w:val="1"/>
      <w:marLeft w:val="0"/>
      <w:marRight w:val="0"/>
      <w:marTop w:val="0"/>
      <w:marBottom w:val="0"/>
      <w:divBdr>
        <w:top w:val="none" w:sz="0" w:space="0" w:color="auto"/>
        <w:left w:val="none" w:sz="0" w:space="0" w:color="auto"/>
        <w:bottom w:val="none" w:sz="0" w:space="0" w:color="auto"/>
        <w:right w:val="none" w:sz="0" w:space="0" w:color="auto"/>
      </w:divBdr>
    </w:div>
    <w:div w:id="1962687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how-to-report-a-serious-incident-in-your-charity" TargetMode="External"/><Relationship Id="rId18" Type="http://schemas.openxmlformats.org/officeDocument/2006/relationships/hyperlink" Target="https://www.gov.uk/government/publications/care-act-statutory-guidance/care-and-support-statutory-guidanc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utton.gov.uk/w/adult-safeguarding-policies-and-guidance" TargetMode="External"/><Relationship Id="rId7" Type="http://schemas.openxmlformats.org/officeDocument/2006/relationships/settings" Target="settings.xml"/><Relationship Id="rId12" Type="http://schemas.openxmlformats.org/officeDocument/2006/relationships/hyperlink" Target="https://www.gov.uk/guidance/dbs-check-requests-guidance-for-employers" TargetMode="External"/><Relationship Id="rId17" Type="http://schemas.openxmlformats.org/officeDocument/2006/relationships/hyperlink" Target="https://www.gov.uk/government/publications/care-act-statutory-guidance/care-and-support-statutory-guidance" TargetMode="External"/><Relationship Id="rId25" Type="http://schemas.openxmlformats.org/officeDocument/2006/relationships/hyperlink" Target="https://www.sutton.gov.uk/w/report-abuse-of-an-adult" TargetMode="External"/><Relationship Id="rId2" Type="http://schemas.openxmlformats.org/officeDocument/2006/relationships/customXml" Target="../customXml/item2.xml"/><Relationship Id="rId16" Type="http://schemas.openxmlformats.org/officeDocument/2006/relationships/hyperlink" Target="https://www.gov.uk/government/publications/care-act-statutory-guidance/care-and-support-statutory-guidance" TargetMode="External"/><Relationship Id="rId20" Type="http://schemas.openxmlformats.org/officeDocument/2006/relationships/hyperlink" Target="http://www.healthwatchsutton.org.uk/polic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local.gov.uk/our-support/partners-care-and-health/care-and-health-improvement/safeguarding-resources/making-safeguarding-personal" TargetMode="External"/><Relationship Id="rId5" Type="http://schemas.openxmlformats.org/officeDocument/2006/relationships/numbering" Target="numbering.xml"/><Relationship Id="rId15" Type="http://schemas.openxmlformats.org/officeDocument/2006/relationships/hyperlink" Target="https://www.suttonsab.org.uk/" TargetMode="External"/><Relationship Id="rId23" Type="http://schemas.openxmlformats.org/officeDocument/2006/relationships/hyperlink" Target="https://www.sutton.gov.uk/w/report-abuse-of-an-adul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qualityhumanrights.com/equality/equality-act-2010/your-rights-under-equality-act-20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ttonsab.org.uk/" TargetMode="External"/><Relationship Id="rId22" Type="http://schemas.openxmlformats.org/officeDocument/2006/relationships/hyperlink" Target="https://www.sutton.gov.uk/documents/20124/448650/SafeguardingAdults161208.pdf/225e5f96-d1b6-ac4d-88c6-ac54621f612a?t=1635525585876"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AA10C-9484-4D89-8B37-9F6E5B074702}">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customXml/itemProps2.xml><?xml version="1.0" encoding="utf-8"?>
<ds:datastoreItem xmlns:ds="http://schemas.openxmlformats.org/officeDocument/2006/customXml" ds:itemID="{C2678674-366C-4398-84E8-4D2B2180DF67}">
  <ds:schemaRefs>
    <ds:schemaRef ds:uri="http://schemas.openxmlformats.org/officeDocument/2006/bibliography"/>
  </ds:schemaRefs>
</ds:datastoreItem>
</file>

<file path=customXml/itemProps3.xml><?xml version="1.0" encoding="utf-8"?>
<ds:datastoreItem xmlns:ds="http://schemas.openxmlformats.org/officeDocument/2006/customXml" ds:itemID="{5FA259C0-2994-4A72-97AC-ECE797B8D820}">
  <ds:schemaRefs>
    <ds:schemaRef ds:uri="http://schemas.microsoft.com/sharepoint/v3/contenttype/forms"/>
  </ds:schemaRefs>
</ds:datastoreItem>
</file>

<file path=customXml/itemProps4.xml><?xml version="1.0" encoding="utf-8"?>
<ds:datastoreItem xmlns:ds="http://schemas.openxmlformats.org/officeDocument/2006/customXml" ds:itemID="{128B6FD6-A033-46F9-9086-D18AD4B7C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Wingrove</dc:creator>
  <cp:keywords/>
  <dc:description/>
  <cp:lastModifiedBy>Colin Wilson</cp:lastModifiedBy>
  <cp:revision>225</cp:revision>
  <cp:lastPrinted>2023-11-09T11:01:00Z</cp:lastPrinted>
  <dcterms:created xsi:type="dcterms:W3CDTF">2023-03-21T15:09:00Z</dcterms:created>
  <dcterms:modified xsi:type="dcterms:W3CDTF">2024-05-22T09:57:00Z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