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7A98" w:rsidR="00527335" w:rsidP="00E57DC7" w:rsidRDefault="00E2726A" w14:paraId="3D6511D0" w14:textId="1D555CF6">
      <w:pPr>
        <w:pStyle w:val="Heading1"/>
        <w:rPr>
          <w:rFonts w:ascii="Century Gothic" w:hAnsi="Century Gothic"/>
        </w:rPr>
      </w:pPr>
      <w:bookmarkStart w:name="_Toc31891354" w:id="0"/>
      <w:r w:rsidRPr="00337A98">
        <w:rPr>
          <w:rFonts w:ascii="Century Gothic" w:hAnsi="Century Gothic"/>
          <w:noProof/>
          <w:color w:val="auto"/>
          <w:sz w:val="36"/>
          <w:szCs w:val="40"/>
          <w:lang w:eastAsia="en-GB"/>
        </w:rPr>
        <w:drawing>
          <wp:anchor distT="0" distB="0" distL="114300" distR="114300" simplePos="0" relativeHeight="251658240" behindDoc="0" locked="0" layoutInCell="1" allowOverlap="1" wp14:anchorId="10DEEA33" wp14:editId="67CECA4E">
            <wp:simplePos x="0" y="0"/>
            <wp:positionH relativeFrom="column">
              <wp:posOffset>0</wp:posOffset>
            </wp:positionH>
            <wp:positionV relativeFrom="paragraph">
              <wp:posOffset>154305</wp:posOffset>
            </wp:positionV>
            <wp:extent cx="2872740" cy="719455"/>
            <wp:effectExtent l="0" t="0" r="3810" b="4445"/>
            <wp:wrapTopAndBottom/>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40" cy="719455"/>
                    </a:xfrm>
                    <a:prstGeom prst="rect">
                      <a:avLst/>
                    </a:prstGeom>
                  </pic:spPr>
                </pic:pic>
              </a:graphicData>
            </a:graphic>
          </wp:anchor>
        </w:drawing>
      </w:r>
      <w:r w:rsidRPr="00337A98" w:rsidR="00527335">
        <w:rPr>
          <w:rFonts w:ascii="Century Gothic" w:hAnsi="Century Gothic"/>
          <w:color w:val="auto"/>
          <w:sz w:val="36"/>
          <w:szCs w:val="40"/>
        </w:rPr>
        <w:t>Enter and View Policy</w:t>
      </w:r>
      <w:bookmarkEnd w:id="0"/>
    </w:p>
    <w:p w:rsidRPr="00337A98" w:rsidR="00527335" w:rsidP="00E57DC7" w:rsidRDefault="00527335" w14:paraId="69692091" w14:textId="77777777">
      <w:pPr>
        <w:pStyle w:val="Heading2"/>
      </w:pPr>
      <w:bookmarkStart w:name="_Toc31809389" w:id="1"/>
      <w:bookmarkStart w:name="_Toc31880643" w:id="2"/>
      <w:r w:rsidRPr="00337A98">
        <w:t xml:space="preserve">Purpose of this </w:t>
      </w:r>
      <w:r w:rsidRPr="00E57DC7">
        <w:t>policy</w:t>
      </w:r>
      <w:bookmarkEnd w:id="1"/>
      <w:bookmarkEnd w:id="2"/>
    </w:p>
    <w:p w:rsidRPr="0041082A" w:rsidR="00527335" w:rsidP="00527335" w:rsidRDefault="00527335" w14:paraId="011349E0" w14:textId="77777777">
      <w:pPr>
        <w:rPr>
          <w:rFonts w:ascii="Century Gothic" w:hAnsi="Century Gothic"/>
          <w:color w:val="auto"/>
        </w:rPr>
      </w:pPr>
      <w:r w:rsidRPr="0041082A">
        <w:rPr>
          <w:rFonts w:ascii="Century Gothic" w:hAnsi="Century Gothic"/>
          <w:color w:val="auto"/>
        </w:rPr>
        <w:t xml:space="preserve">The purpose of this policy is to provide good practice guidance on Enter and View visits to ensure they are carried out in an effective, accountable and transparent manner. </w:t>
      </w:r>
    </w:p>
    <w:p w:rsidRPr="0041082A" w:rsidR="00527335" w:rsidP="00527335" w:rsidRDefault="00527335" w14:paraId="5C05B8C4" w14:textId="77777777">
      <w:pPr>
        <w:rPr>
          <w:rFonts w:ascii="Century Gothic" w:hAnsi="Century Gothic"/>
          <w:color w:val="auto"/>
        </w:rPr>
      </w:pPr>
      <w:r w:rsidRPr="0041082A">
        <w:rPr>
          <w:rFonts w:ascii="Century Gothic" w:hAnsi="Century Gothic"/>
          <w:color w:val="auto"/>
        </w:rPr>
        <w:t xml:space="preserve">It is the individual responsibility of everyone connected with and acting on behalf of Healthwatch Sutton to adhere to this policy. </w:t>
      </w:r>
    </w:p>
    <w:p w:rsidRPr="0041082A" w:rsidR="00527335" w:rsidP="00527335" w:rsidRDefault="00527335" w14:paraId="628E1F5A" w14:textId="77777777">
      <w:pPr>
        <w:rPr>
          <w:rFonts w:ascii="Century Gothic" w:hAnsi="Century Gothic"/>
          <w:color w:val="auto"/>
        </w:rPr>
      </w:pPr>
      <w:r w:rsidRPr="0041082A">
        <w:rPr>
          <w:rFonts w:ascii="Century Gothic" w:hAnsi="Century Gothic"/>
          <w:color w:val="auto"/>
        </w:rPr>
        <w:t xml:space="preserve">We will review this policy on a regular basis. </w:t>
      </w:r>
    </w:p>
    <w:p w:rsidRPr="00337A98" w:rsidR="00527335" w:rsidP="00E57DC7" w:rsidRDefault="00527335" w14:paraId="0155B76F" w14:textId="77777777">
      <w:pPr>
        <w:pStyle w:val="Heading2"/>
      </w:pPr>
      <w:bookmarkStart w:name="_Toc31809390" w:id="3"/>
      <w:bookmarkStart w:name="_Toc31880644" w:id="4"/>
      <w:r w:rsidRPr="00337A98">
        <w:t>What is Enter and View?</w:t>
      </w:r>
      <w:bookmarkEnd w:id="3"/>
      <w:bookmarkEnd w:id="4"/>
    </w:p>
    <w:p w:rsidRPr="00CE7F17" w:rsidR="00527335" w:rsidP="00527335" w:rsidRDefault="00527335" w14:paraId="506ADAD7" w14:textId="77777777">
      <w:pPr>
        <w:spacing w:before="240"/>
        <w:rPr>
          <w:rFonts w:ascii="Century Gothic" w:hAnsi="Century Gothic"/>
          <w:color w:val="auto"/>
        </w:rPr>
      </w:pPr>
      <w:r w:rsidRPr="00CE7F17">
        <w:rPr>
          <w:rFonts w:ascii="Century Gothic" w:hAnsi="Century Gothic"/>
          <w:color w:val="auto"/>
        </w:rPr>
        <w:t xml:space="preserve">An Enter and View visit is an opportunity for Healthwatch Sutton’s Authorised Representatives to spot how services could improve by listening to the views of the people that use them, within criteria set out in the legislation. </w:t>
      </w:r>
    </w:p>
    <w:p w:rsidRPr="00CE7F17" w:rsidR="00527335" w:rsidP="00527335" w:rsidRDefault="00527335" w14:paraId="2E5A48D1" w14:textId="77777777">
      <w:pPr>
        <w:spacing w:before="240"/>
        <w:rPr>
          <w:rFonts w:ascii="Century Gothic" w:hAnsi="Century Gothic"/>
          <w:color w:val="auto"/>
        </w:rPr>
      </w:pPr>
      <w:r w:rsidRPr="00CE7F17">
        <w:rPr>
          <w:rFonts w:ascii="Century Gothic" w:hAnsi="Century Gothic"/>
          <w:color w:val="auto"/>
        </w:rPr>
        <w:t xml:space="preserve">There are two pieces of legislation which place a duty on health and social care providers to allow a representative of Healthwatch to carry out Enter and View: </w:t>
      </w:r>
    </w:p>
    <w:p w:rsidRPr="00CE7F17" w:rsidR="00527335" w:rsidP="00527335" w:rsidRDefault="00527335" w14:paraId="58A84FA4" w14:textId="77777777">
      <w:pPr>
        <w:pStyle w:val="ListParagraph"/>
        <w:numPr>
          <w:ilvl w:val="0"/>
          <w:numId w:val="2"/>
        </w:numPr>
        <w:spacing w:before="240"/>
        <w:rPr>
          <w:rFonts w:ascii="Century Gothic" w:hAnsi="Century Gothic"/>
          <w:color w:val="auto"/>
        </w:rPr>
      </w:pPr>
      <w:r w:rsidRPr="00CE7F17">
        <w:rPr>
          <w:rFonts w:ascii="Century Gothic" w:hAnsi="Century Gothic"/>
          <w:color w:val="auto"/>
        </w:rPr>
        <w:t xml:space="preserve">The Local Government and Public Involvement in Health Act 2007 </w:t>
      </w:r>
    </w:p>
    <w:p w:rsidRPr="00CE7F17" w:rsidR="00527335" w:rsidP="00527335" w:rsidRDefault="00527335" w14:paraId="4C043EFD" w14:textId="77777777">
      <w:pPr>
        <w:pStyle w:val="ListParagraph"/>
        <w:numPr>
          <w:ilvl w:val="0"/>
          <w:numId w:val="2"/>
        </w:numPr>
        <w:spacing w:before="240"/>
        <w:rPr>
          <w:rFonts w:ascii="Century Gothic" w:hAnsi="Century Gothic"/>
          <w:color w:val="auto"/>
        </w:rPr>
      </w:pPr>
      <w:r w:rsidRPr="00CE7F17">
        <w:rPr>
          <w:rFonts w:ascii="Century Gothic" w:hAnsi="Century Gothic"/>
          <w:color w:val="auto"/>
        </w:rPr>
        <w:t xml:space="preserve">The Local Authorities (Public Health Function and Entry to Premises by Local Healthwatch Representatives) Regulations 2013 </w:t>
      </w:r>
    </w:p>
    <w:p w:rsidRPr="00CE7F17" w:rsidR="00527335" w:rsidP="00527335" w:rsidRDefault="00527335" w14:paraId="59F145C7" w14:textId="77777777">
      <w:pPr>
        <w:spacing w:before="240"/>
        <w:rPr>
          <w:rFonts w:ascii="Century Gothic" w:hAnsi="Century Gothic"/>
          <w:color w:val="auto"/>
        </w:rPr>
      </w:pPr>
      <w:r w:rsidRPr="00CE7F17">
        <w:rPr>
          <w:rFonts w:ascii="Century Gothic" w:hAnsi="Century Gothic"/>
          <w:color w:val="auto"/>
        </w:rPr>
        <w:t xml:space="preserve">In 2014, the Department of Health Review carried out a review of the organisations which have the powers of entry (including Healthwatch). This review states that there remains a duty on providers of health and social care to allow a representative of local Healthwatch to enter certain premises and observe activities. There are criteria that Healthwatch must meet in order to exercise the power of entry, which include the consent of the provider. </w:t>
      </w:r>
    </w:p>
    <w:p w:rsidRPr="00CE7F17" w:rsidR="00527335" w:rsidP="00527335" w:rsidRDefault="00527335" w14:paraId="180EC347" w14:textId="77777777">
      <w:pPr>
        <w:spacing w:before="240"/>
        <w:rPr>
          <w:rFonts w:ascii="Century Gothic" w:hAnsi="Century Gothic"/>
          <w:color w:val="auto"/>
        </w:rPr>
      </w:pPr>
      <w:r w:rsidRPr="00CE7F17">
        <w:rPr>
          <w:rFonts w:ascii="Century Gothic" w:hAnsi="Century Gothic"/>
          <w:color w:val="auto"/>
        </w:rPr>
        <w:t xml:space="preserve">Enter and View is an activity Healthwatch can carry out, but not a statutory function, which means Healthwatch can choose if, when, how and where it is used, depending on local priorities. </w:t>
      </w:r>
    </w:p>
    <w:p w:rsidRPr="00CE7F17" w:rsidR="00527335" w:rsidP="00527335" w:rsidRDefault="00527335" w14:paraId="0966486C" w14:textId="77777777">
      <w:pPr>
        <w:spacing w:before="240"/>
        <w:rPr>
          <w:rFonts w:ascii="Century Gothic" w:hAnsi="Century Gothic"/>
          <w:color w:val="auto"/>
        </w:rPr>
      </w:pPr>
      <w:r w:rsidRPr="00CE7F17">
        <w:rPr>
          <w:rFonts w:ascii="Century Gothic" w:hAnsi="Century Gothic"/>
          <w:color w:val="auto"/>
        </w:rPr>
        <w:t xml:space="preserve">Healthwatch may carry out Enter and View to contribute to activities in their statutory functions. Enter and View allows Healthwatch to: </w:t>
      </w:r>
    </w:p>
    <w:p w:rsidRPr="00CE7F17" w:rsidR="00527335" w:rsidP="00527335" w:rsidRDefault="00527335" w14:paraId="33F5119B" w14:textId="77777777">
      <w:pPr>
        <w:pStyle w:val="ListParagraph"/>
        <w:numPr>
          <w:ilvl w:val="0"/>
          <w:numId w:val="3"/>
        </w:numPr>
        <w:rPr>
          <w:rFonts w:ascii="Century Gothic" w:hAnsi="Century Gothic"/>
          <w:color w:val="auto"/>
        </w:rPr>
      </w:pPr>
      <w:r w:rsidRPr="00CE7F17">
        <w:rPr>
          <w:rFonts w:ascii="Century Gothic" w:hAnsi="Century Gothic"/>
          <w:color w:val="auto"/>
        </w:rPr>
        <w:t xml:space="preserve">Go into health and social care premises to hear and see how people experience the service. </w:t>
      </w:r>
    </w:p>
    <w:p w:rsidRPr="00CE7F17" w:rsidR="00527335" w:rsidP="00527335" w:rsidRDefault="00527335" w14:paraId="5BB12DE4" w14:textId="77777777">
      <w:pPr>
        <w:pStyle w:val="ListParagraph"/>
        <w:numPr>
          <w:ilvl w:val="0"/>
          <w:numId w:val="3"/>
        </w:numPr>
        <w:rPr>
          <w:rFonts w:ascii="Century Gothic" w:hAnsi="Century Gothic"/>
          <w:color w:val="auto"/>
        </w:rPr>
      </w:pPr>
      <w:r w:rsidRPr="00CE7F17">
        <w:rPr>
          <w:rFonts w:ascii="Century Gothic" w:hAnsi="Century Gothic"/>
          <w:color w:val="auto"/>
        </w:rPr>
        <w:t xml:space="preserve">Collect the views of people using the service at the point of delivery. </w:t>
      </w:r>
    </w:p>
    <w:p w:rsidRPr="00CE7F17" w:rsidR="00527335" w:rsidP="00527335" w:rsidRDefault="00527335" w14:paraId="373A61B7" w14:textId="77777777">
      <w:pPr>
        <w:pStyle w:val="ListParagraph"/>
        <w:numPr>
          <w:ilvl w:val="0"/>
          <w:numId w:val="3"/>
        </w:numPr>
        <w:rPr>
          <w:rFonts w:ascii="Century Gothic" w:hAnsi="Century Gothic"/>
          <w:color w:val="auto"/>
        </w:rPr>
      </w:pPr>
      <w:r w:rsidRPr="00CE7F17">
        <w:rPr>
          <w:rFonts w:ascii="Century Gothic" w:hAnsi="Century Gothic"/>
          <w:color w:val="auto"/>
        </w:rPr>
        <w:t xml:space="preserve">Collect the views of carers and relatives of people using the service. </w:t>
      </w:r>
    </w:p>
    <w:p w:rsidRPr="00E57DC7" w:rsidR="00527335" w:rsidP="00527335" w:rsidRDefault="00527335" w14:paraId="55C373CF" w14:textId="77777777">
      <w:pPr>
        <w:pStyle w:val="ListParagraph"/>
        <w:numPr>
          <w:ilvl w:val="0"/>
          <w:numId w:val="3"/>
        </w:numPr>
        <w:rPr>
          <w:rFonts w:ascii="Century Gothic" w:hAnsi="Century Gothic"/>
          <w:color w:val="auto"/>
        </w:rPr>
      </w:pPr>
      <w:r w:rsidRPr="00E57DC7">
        <w:rPr>
          <w:rFonts w:ascii="Century Gothic" w:hAnsi="Century Gothic"/>
          <w:color w:val="auto"/>
        </w:rPr>
        <w:t xml:space="preserve">Observe the nature and quality of services. </w:t>
      </w:r>
    </w:p>
    <w:p w:rsidRPr="00E57DC7" w:rsidR="00527335" w:rsidP="00527335" w:rsidRDefault="00527335" w14:paraId="463EAD3B" w14:textId="5D5B7071">
      <w:pPr>
        <w:pStyle w:val="ListParagraph"/>
        <w:numPr>
          <w:ilvl w:val="0"/>
          <w:numId w:val="3"/>
        </w:numPr>
        <w:rPr>
          <w:rFonts w:ascii="Century Gothic" w:hAnsi="Century Gothic"/>
          <w:color w:val="auto"/>
        </w:rPr>
      </w:pPr>
      <w:r w:rsidRPr="581A0798" w:rsidR="00527335">
        <w:rPr>
          <w:rFonts w:ascii="Century Gothic" w:hAnsi="Century Gothic"/>
          <w:color w:val="auto"/>
        </w:rPr>
        <w:t xml:space="preserve">Collate evidence-based feedback, based on </w:t>
      </w:r>
      <w:r w:rsidRPr="581A0798" w:rsidR="44589DB0">
        <w:rPr>
          <w:rFonts w:ascii="Century Gothic" w:hAnsi="Century Gothic"/>
          <w:color w:val="auto"/>
        </w:rPr>
        <w:t xml:space="preserve">what </w:t>
      </w:r>
      <w:r w:rsidRPr="581A0798" w:rsidR="00527335">
        <w:rPr>
          <w:rFonts w:ascii="Century Gothic" w:hAnsi="Century Gothic"/>
          <w:color w:val="auto"/>
        </w:rPr>
        <w:t xml:space="preserve">people have told them on the day. </w:t>
      </w:r>
    </w:p>
    <w:p w:rsidRPr="00E57DC7" w:rsidR="00527335" w:rsidP="00527335" w:rsidRDefault="00527335" w14:paraId="6D8892E3" w14:textId="77777777">
      <w:pPr>
        <w:pStyle w:val="ListParagraph"/>
        <w:numPr>
          <w:ilvl w:val="0"/>
          <w:numId w:val="3"/>
        </w:numPr>
        <w:rPr>
          <w:rFonts w:ascii="Century Gothic" w:hAnsi="Century Gothic"/>
          <w:color w:val="auto"/>
        </w:rPr>
      </w:pPr>
      <w:r w:rsidRPr="00E57DC7">
        <w:rPr>
          <w:rFonts w:ascii="Century Gothic" w:hAnsi="Century Gothic"/>
          <w:color w:val="auto"/>
        </w:rPr>
        <w:t xml:space="preserve">Report to providers, regulators, Local Authority and NHS commissioners and quality assurers, the public, Healthwatch England and other relevant partners. </w:t>
      </w:r>
    </w:p>
    <w:p w:rsidRPr="00E57DC7" w:rsidR="00527335" w:rsidP="00527335" w:rsidRDefault="00527335" w14:paraId="60DB8628" w14:textId="1CB7C6D5">
      <w:pPr>
        <w:pStyle w:val="ListParagraph"/>
        <w:numPr>
          <w:ilvl w:val="0"/>
          <w:numId w:val="3"/>
        </w:numPr>
        <w:rPr>
          <w:rFonts w:ascii="Century Gothic" w:hAnsi="Century Gothic"/>
          <w:color w:val="auto"/>
        </w:rPr>
      </w:pPr>
      <w:r w:rsidRPr="00E57DC7">
        <w:rPr>
          <w:rFonts w:ascii="Century Gothic" w:hAnsi="Century Gothic"/>
          <w:color w:val="auto"/>
        </w:rPr>
        <w:t xml:space="preserve">Develop insights and recommendations across multiple visits to inform strategic decision making at local and national levels. </w:t>
      </w:r>
    </w:p>
    <w:p w:rsidRPr="00337A98" w:rsidR="00527335" w:rsidP="00E57DC7" w:rsidRDefault="00527335" w14:paraId="60B6852B" w14:textId="77777777">
      <w:pPr>
        <w:pStyle w:val="Heading2"/>
      </w:pPr>
      <w:bookmarkStart w:name="_Toc31809391" w:id="5"/>
      <w:bookmarkStart w:name="_Toc31880645" w:id="6"/>
      <w:r w:rsidRPr="00337A98">
        <w:t>Where can Enter and View be carried out?</w:t>
      </w:r>
      <w:bookmarkEnd w:id="5"/>
      <w:bookmarkEnd w:id="6"/>
      <w:r w:rsidRPr="00337A98">
        <w:t xml:space="preserve"> </w:t>
      </w:r>
    </w:p>
    <w:p w:rsidRPr="00E57DC7" w:rsidR="00527335" w:rsidP="00527335" w:rsidRDefault="00527335" w14:paraId="551FBE40" w14:textId="0F7D3A55">
      <w:pPr>
        <w:spacing w:before="240"/>
        <w:rPr>
          <w:rFonts w:ascii="Century Gothic" w:hAnsi="Century Gothic"/>
          <w:color w:val="auto"/>
        </w:rPr>
      </w:pPr>
      <w:r w:rsidRPr="00E57DC7">
        <w:rPr>
          <w:rFonts w:ascii="Century Gothic" w:hAnsi="Century Gothic"/>
          <w:color w:val="auto"/>
        </w:rPr>
        <w:t>The legislation allows Enter and View activity to be undertaken on premises where health and social care is public</w:t>
      </w:r>
      <w:r w:rsidRPr="00E57DC7" w:rsidR="00D814C0">
        <w:rPr>
          <w:rFonts w:ascii="Century Gothic" w:hAnsi="Century Gothic"/>
          <w:color w:val="auto"/>
        </w:rPr>
        <w:t>l</w:t>
      </w:r>
      <w:r w:rsidRPr="00E57DC7">
        <w:rPr>
          <w:rFonts w:ascii="Century Gothic" w:hAnsi="Century Gothic"/>
          <w:color w:val="auto"/>
        </w:rPr>
        <w:t>y funded and delivered, which covers:</w:t>
      </w:r>
    </w:p>
    <w:p w:rsidRPr="00E57DC7" w:rsidR="00527335" w:rsidP="00527335" w:rsidRDefault="00527335" w14:paraId="3DD29237"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NHS Trusts </w:t>
      </w:r>
    </w:p>
    <w:p w:rsidRPr="00E57DC7" w:rsidR="00527335" w:rsidP="00527335" w:rsidRDefault="00527335" w14:paraId="52401036"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NHS Foundation Trusts </w:t>
      </w:r>
    </w:p>
    <w:p w:rsidRPr="00E57DC7" w:rsidR="00527335" w:rsidP="00527335" w:rsidRDefault="00527335" w14:paraId="7EBAC559"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Local Authorities</w:t>
      </w:r>
    </w:p>
    <w:p w:rsidRPr="00E57DC7" w:rsidR="00527335" w:rsidP="00527335" w:rsidRDefault="00527335" w14:paraId="5E31F073"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Primary medical services (e.g. GPs) </w:t>
      </w:r>
    </w:p>
    <w:p w:rsidRPr="00E57DC7" w:rsidR="00527335" w:rsidP="00527335" w:rsidRDefault="00527335" w14:paraId="3CE25534"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Primary dental services (e.g. dentists) </w:t>
      </w:r>
    </w:p>
    <w:p w:rsidRPr="00E57DC7" w:rsidR="00527335" w:rsidP="00527335" w:rsidRDefault="00527335" w14:paraId="51EB752B"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Primary ophthalmic services (e.g. opticians) </w:t>
      </w:r>
    </w:p>
    <w:p w:rsidRPr="00E57DC7" w:rsidR="00527335" w:rsidP="00527335" w:rsidRDefault="00527335" w14:paraId="50FAE530"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Pharmaceutical services (e.g. community pharmacists) </w:t>
      </w:r>
    </w:p>
    <w:p w:rsidRPr="00E57DC7" w:rsidR="00527335" w:rsidP="00527335" w:rsidRDefault="00527335" w14:paraId="443731DD" w14:textId="77777777">
      <w:pPr>
        <w:pStyle w:val="ListParagraph"/>
        <w:numPr>
          <w:ilvl w:val="0"/>
          <w:numId w:val="4"/>
        </w:numPr>
        <w:spacing w:before="240"/>
        <w:rPr>
          <w:rFonts w:ascii="Century Gothic" w:hAnsi="Century Gothic"/>
          <w:color w:val="auto"/>
        </w:rPr>
      </w:pPr>
      <w:r w:rsidRPr="00E57DC7">
        <w:rPr>
          <w:rFonts w:ascii="Century Gothic" w:hAnsi="Century Gothic"/>
          <w:color w:val="auto"/>
        </w:rPr>
        <w:t xml:space="preserve">Premises which have been contracted by Local Authorities or the NHS to provide health or social care services (e.g. adult social care homes and day care centres). </w:t>
      </w:r>
    </w:p>
    <w:p w:rsidRPr="00337A98" w:rsidR="00527335" w:rsidP="00527335" w:rsidRDefault="00527335" w14:paraId="1480B372" w14:textId="77777777">
      <w:pPr>
        <w:pStyle w:val="Heading3"/>
        <w:rPr>
          <w:rFonts w:ascii="Century Gothic" w:hAnsi="Century Gothic"/>
        </w:rPr>
      </w:pPr>
      <w:bookmarkStart w:name="_Toc31809392" w:id="7"/>
      <w:bookmarkStart w:name="_Toc31880646" w:id="8"/>
      <w:r w:rsidRPr="00337A98">
        <w:rPr>
          <w:rFonts w:ascii="Century Gothic" w:hAnsi="Century Gothic"/>
        </w:rPr>
        <w:t>Health and social care providers do not have a duty to allow entry if:</w:t>
      </w:r>
      <w:bookmarkEnd w:id="7"/>
      <w:bookmarkEnd w:id="8"/>
      <w:r w:rsidRPr="00337A98">
        <w:rPr>
          <w:rFonts w:ascii="Century Gothic" w:hAnsi="Century Gothic"/>
        </w:rPr>
        <w:t xml:space="preserve"> </w:t>
      </w:r>
    </w:p>
    <w:p w:rsidRPr="00E57DC7" w:rsidR="00527335" w:rsidP="00527335" w:rsidRDefault="00527335" w14:paraId="2870CCD2"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The visit compromises either the effective provision of a service or the privacy or dignity of any person. </w:t>
      </w:r>
    </w:p>
    <w:p w:rsidRPr="00E57DC7" w:rsidR="00527335" w:rsidP="00527335" w:rsidRDefault="00527335" w14:paraId="0A6E54CE"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Where the part(s) of the premises are used solely as accommodation for employees where health and social care services are not provided at the premises (e.g. offices) or where they are not being provided at the time of the visit (e.g. when facilities and premises are closed). </w:t>
      </w:r>
    </w:p>
    <w:p w:rsidRPr="00E57DC7" w:rsidR="00527335" w:rsidP="00527335" w:rsidRDefault="00527335" w14:paraId="45B8255F"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If, in the opinion of the provider of the service being visited, the Authorised Representative, in seeking to ‘Enter and View’ its premises, is not acting reasonably and proportionately. </w:t>
      </w:r>
    </w:p>
    <w:p w:rsidRPr="00E57DC7" w:rsidR="00527335" w:rsidP="00527335" w:rsidRDefault="00527335" w14:paraId="447E92BD"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If the Authorised Representative does not provide evidence that he or she is authorised. </w:t>
      </w:r>
    </w:p>
    <w:p w:rsidRPr="00E57DC7" w:rsidR="00527335" w:rsidP="00527335" w:rsidRDefault="00527335" w14:paraId="46D045B6"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If the premises where the care is being provided is a person’s own home (e.g. privately funded assisted living facilities). This does not mean that an Authorised Representative cannot enter when invited by residents – it just means that there is no duty to allow Healthwatch to enter. </w:t>
      </w:r>
    </w:p>
    <w:p w:rsidRPr="00E57DC7" w:rsidR="00527335" w:rsidP="00527335" w:rsidRDefault="00527335" w14:paraId="3F0F23EB" w14:textId="77777777">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Where the premises are non-communal parts of care homes (e.g. a resident’s bedroom). If a resident asks an Authorised Representative to come into their bedroom, it is the decision of the Enter and View Lead to agree to this. They need to feel comfortable the Authorised Representatives are operating within our </w:t>
      </w:r>
      <w:hyperlink w:history="1" w:anchor="_Protecting_Adults_at_1">
        <w:r w:rsidRPr="001D6B5C">
          <w:rPr>
            <w:rStyle w:val="Hyperlink"/>
            <w:rFonts w:ascii="Century Gothic" w:hAnsi="Century Gothic"/>
            <w:b/>
            <w:bCs/>
            <w:color w:val="E73E97"/>
          </w:rPr>
          <w:t>safeguarding policies and procedures</w:t>
        </w:r>
      </w:hyperlink>
      <w:r w:rsidRPr="00E57DC7">
        <w:rPr>
          <w:rFonts w:ascii="Century Gothic" w:hAnsi="Century Gothic"/>
          <w:color w:val="auto"/>
        </w:rPr>
        <w:t xml:space="preserve">, and the situation has been risk assessed. </w:t>
      </w:r>
    </w:p>
    <w:p w:rsidRPr="00E57DC7" w:rsidR="00527335" w:rsidP="00527335" w:rsidRDefault="00527335" w14:paraId="42E1CF2E" w14:textId="681A24CC">
      <w:pPr>
        <w:pStyle w:val="ListParagraph"/>
        <w:numPr>
          <w:ilvl w:val="0"/>
          <w:numId w:val="5"/>
        </w:numPr>
        <w:spacing w:before="240"/>
        <w:rPr>
          <w:rFonts w:ascii="Century Gothic" w:hAnsi="Century Gothic"/>
          <w:color w:val="auto"/>
        </w:rPr>
      </w:pPr>
      <w:r w:rsidRPr="00E57DC7">
        <w:rPr>
          <w:rFonts w:ascii="Century Gothic" w:hAnsi="Century Gothic"/>
          <w:color w:val="auto"/>
        </w:rPr>
        <w:t xml:space="preserve">If there are no people receiving publicly funded services being provided on the premises. </w:t>
      </w:r>
    </w:p>
    <w:p w:rsidRPr="002C615D" w:rsidR="00527335" w:rsidP="00527335" w:rsidRDefault="00527335" w14:paraId="6BD5E542" w14:textId="77777777">
      <w:pPr>
        <w:pStyle w:val="ListParagraph"/>
        <w:numPr>
          <w:ilvl w:val="0"/>
          <w:numId w:val="5"/>
        </w:numPr>
        <w:spacing w:before="240"/>
        <w:rPr>
          <w:rFonts w:ascii="Century Gothic" w:hAnsi="Century Gothic"/>
          <w:color w:val="auto"/>
        </w:rPr>
      </w:pPr>
      <w:r w:rsidRPr="002C615D">
        <w:rPr>
          <w:rFonts w:ascii="Century Gothic" w:hAnsi="Century Gothic"/>
          <w:color w:val="auto"/>
        </w:rPr>
        <w:t xml:space="preserve">The duty does not apply to the observing of any activities which relate to the provision of social care services to children. </w:t>
      </w:r>
    </w:p>
    <w:p w:rsidRPr="00337A98" w:rsidR="00527335" w:rsidP="00E57DC7" w:rsidRDefault="00527335" w14:paraId="07C9151C" w14:textId="77777777">
      <w:pPr>
        <w:pStyle w:val="Heading2"/>
      </w:pPr>
      <w:bookmarkStart w:name="_Toc31809393" w:id="9"/>
      <w:bookmarkStart w:name="_Toc31880647" w:id="10"/>
      <w:r w:rsidRPr="00337A98">
        <w:t>Who can carry out Enter and View?</w:t>
      </w:r>
      <w:bookmarkEnd w:id="9"/>
      <w:bookmarkEnd w:id="10"/>
    </w:p>
    <w:p w:rsidRPr="002C615D" w:rsidR="00527335" w:rsidP="00527335" w:rsidRDefault="00527335" w14:paraId="483B77A9" w14:textId="77777777">
      <w:pPr>
        <w:rPr>
          <w:rFonts w:ascii="Century Gothic" w:hAnsi="Century Gothic"/>
          <w:color w:val="auto"/>
        </w:rPr>
      </w:pPr>
      <w:r w:rsidRPr="002C615D">
        <w:rPr>
          <w:rFonts w:ascii="Century Gothic" w:hAnsi="Century Gothic"/>
          <w:color w:val="auto"/>
        </w:rPr>
        <w:t xml:space="preserve">Only </w:t>
      </w:r>
      <w:r w:rsidRPr="002C615D">
        <w:rPr>
          <w:rFonts w:ascii="Century Gothic" w:hAnsi="Century Gothic"/>
          <w:b/>
          <w:color w:val="auto"/>
        </w:rPr>
        <w:t xml:space="preserve">Authorised Representatives </w:t>
      </w:r>
      <w:r w:rsidRPr="002C615D">
        <w:rPr>
          <w:rFonts w:ascii="Century Gothic" w:hAnsi="Century Gothic"/>
          <w:color w:val="auto"/>
        </w:rPr>
        <w:t xml:space="preserve">may undertake ‘Enter and View’ and then only for the purpose of carrying out the activities of HWS. </w:t>
      </w:r>
    </w:p>
    <w:p w:rsidRPr="002C615D" w:rsidR="00527335" w:rsidP="00527335" w:rsidRDefault="00527335" w14:paraId="1631C46D" w14:textId="77777777">
      <w:pPr>
        <w:rPr>
          <w:rFonts w:ascii="Century Gothic" w:hAnsi="Century Gothic"/>
          <w:color w:val="auto"/>
        </w:rPr>
      </w:pPr>
      <w:r w:rsidRPr="002C615D">
        <w:rPr>
          <w:rFonts w:ascii="Century Gothic" w:hAnsi="Century Gothic"/>
          <w:color w:val="auto"/>
        </w:rPr>
        <w:t xml:space="preserve">An Authorised Representative: </w:t>
      </w:r>
    </w:p>
    <w:p w:rsidRPr="002C615D" w:rsidR="00527335" w:rsidP="00527335" w:rsidRDefault="00527335" w14:paraId="0E493F79" w14:textId="77777777">
      <w:pPr>
        <w:pStyle w:val="ListParagraph"/>
        <w:numPr>
          <w:ilvl w:val="0"/>
          <w:numId w:val="6"/>
        </w:numPr>
        <w:rPr>
          <w:rFonts w:ascii="Century Gothic" w:hAnsi="Century Gothic"/>
          <w:color w:val="auto"/>
        </w:rPr>
      </w:pPr>
      <w:r w:rsidRPr="002C615D">
        <w:rPr>
          <w:rFonts w:ascii="Century Gothic" w:hAnsi="Century Gothic"/>
          <w:color w:val="auto"/>
        </w:rPr>
        <w:t xml:space="preserve">Is a volunteer whom HWS has appointed as an authorised person (in-line with Healthwatch Sutton’s </w:t>
      </w:r>
      <w:hyperlink w:history="1" w:anchor="_Volunteering_Policy">
        <w:r w:rsidRPr="008D076C">
          <w:rPr>
            <w:rStyle w:val="Hyperlink"/>
            <w:rFonts w:ascii="Century Gothic" w:hAnsi="Century Gothic"/>
            <w:b/>
            <w:bCs/>
            <w:color w:val="E73E97"/>
          </w:rPr>
          <w:t>volunteering policy</w:t>
        </w:r>
      </w:hyperlink>
      <w:r w:rsidRPr="002C615D">
        <w:rPr>
          <w:rFonts w:ascii="Century Gothic" w:hAnsi="Century Gothic"/>
          <w:color w:val="auto"/>
        </w:rPr>
        <w:t>).</w:t>
      </w:r>
    </w:p>
    <w:p w:rsidRPr="002C615D" w:rsidR="00527335" w:rsidP="00527335" w:rsidRDefault="00527335" w14:paraId="2B14CF70" w14:textId="77777777">
      <w:pPr>
        <w:pStyle w:val="ListParagraph"/>
        <w:numPr>
          <w:ilvl w:val="0"/>
          <w:numId w:val="6"/>
        </w:numPr>
        <w:rPr>
          <w:rFonts w:ascii="Century Gothic" w:hAnsi="Century Gothic"/>
          <w:color w:val="auto"/>
        </w:rPr>
      </w:pPr>
      <w:r w:rsidRPr="002C615D">
        <w:rPr>
          <w:rFonts w:ascii="Century Gothic" w:hAnsi="Century Gothic"/>
          <w:color w:val="auto"/>
        </w:rPr>
        <w:t xml:space="preserve">Has undertaken relevant training provided by HWS to become an Enter and View Authorised Representative. </w:t>
      </w:r>
    </w:p>
    <w:p w:rsidRPr="002C615D" w:rsidR="00527335" w:rsidP="00527335" w:rsidRDefault="00527335" w14:paraId="5866C44B" w14:textId="77777777">
      <w:pPr>
        <w:pStyle w:val="ListParagraph"/>
        <w:numPr>
          <w:ilvl w:val="0"/>
          <w:numId w:val="6"/>
        </w:numPr>
        <w:rPr>
          <w:rFonts w:ascii="Century Gothic" w:hAnsi="Century Gothic"/>
          <w:color w:val="auto"/>
        </w:rPr>
      </w:pPr>
      <w:r w:rsidRPr="002C615D">
        <w:rPr>
          <w:rFonts w:ascii="Century Gothic" w:hAnsi="Century Gothic"/>
          <w:color w:val="auto"/>
        </w:rPr>
        <w:t>Has undergone a criminal record check by the Disclosure and Barring Service (Authorised Representatives are eligible for a standard check currently).</w:t>
      </w:r>
    </w:p>
    <w:p w:rsidRPr="002C615D" w:rsidR="00527335" w:rsidP="00527335" w:rsidRDefault="00527335" w14:paraId="79854B75" w14:textId="77777777">
      <w:pPr>
        <w:pStyle w:val="ListParagraph"/>
        <w:numPr>
          <w:ilvl w:val="0"/>
          <w:numId w:val="6"/>
        </w:numPr>
        <w:rPr>
          <w:rFonts w:ascii="Century Gothic" w:hAnsi="Century Gothic"/>
          <w:color w:val="auto"/>
        </w:rPr>
      </w:pPr>
      <w:r w:rsidRPr="002C615D">
        <w:rPr>
          <w:rFonts w:ascii="Century Gothic" w:hAnsi="Century Gothic"/>
          <w:color w:val="auto"/>
        </w:rPr>
        <w:t>Has provided appropriate references.</w:t>
      </w:r>
    </w:p>
    <w:p w:rsidRPr="002C615D" w:rsidR="00527335" w:rsidP="00527335" w:rsidRDefault="00527335" w14:paraId="09ACBC05" w14:textId="77777777">
      <w:pPr>
        <w:rPr>
          <w:rFonts w:ascii="Century Gothic" w:hAnsi="Century Gothic"/>
          <w:color w:val="auto"/>
        </w:rPr>
      </w:pPr>
      <w:r w:rsidRPr="002C615D">
        <w:rPr>
          <w:rFonts w:ascii="Century Gothic" w:hAnsi="Century Gothic"/>
          <w:color w:val="auto"/>
        </w:rPr>
        <w:t xml:space="preserve">HWS will provide appropriate training for Authorised Representatives and ensure that they attend safeguarding training. Additionally, the Authorised Representatives will receive a briefing prior to each Enter and View visit. </w:t>
      </w:r>
    </w:p>
    <w:p w:rsidRPr="002C615D" w:rsidR="00527335" w:rsidP="00527335" w:rsidRDefault="00527335" w14:paraId="42B5D0AD" w14:textId="77777777">
      <w:pPr>
        <w:rPr>
          <w:rFonts w:ascii="Century Gothic" w:hAnsi="Century Gothic"/>
          <w:color w:val="auto"/>
        </w:rPr>
      </w:pPr>
      <w:r w:rsidRPr="002C615D">
        <w:rPr>
          <w:rFonts w:ascii="Century Gothic" w:hAnsi="Century Gothic"/>
          <w:color w:val="auto"/>
        </w:rPr>
        <w:t xml:space="preserve">Once the Authorised Representative has completed the relevant training, undergone a DBS check and provided appropriate references, they will be provided with written evidence of their authorisation. The written evidence will take the form of a picture ID badge. </w:t>
      </w:r>
    </w:p>
    <w:p w:rsidRPr="002C615D" w:rsidR="00527335" w:rsidP="00527335" w:rsidRDefault="00527335" w14:paraId="541353EA" w14:textId="568FA259">
      <w:pPr>
        <w:rPr>
          <w:rFonts w:ascii="Century Gothic" w:hAnsi="Century Gothic"/>
          <w:color w:val="auto"/>
        </w:rPr>
      </w:pPr>
      <w:r w:rsidRPr="002C615D">
        <w:rPr>
          <w:rFonts w:ascii="Century Gothic" w:hAnsi="Century Gothic"/>
          <w:color w:val="auto"/>
        </w:rPr>
        <w:t>HWS will make public on their website (</w:t>
      </w:r>
      <w:r w:rsidRPr="002C615D" w:rsidR="00C317BF">
        <w:rPr>
          <w:rFonts w:ascii="Century Gothic" w:hAnsi="Century Gothic"/>
          <w:color w:val="auto"/>
        </w:rPr>
        <w:t xml:space="preserve">at </w:t>
      </w:r>
      <w:hyperlink w:history="1" r:id="rId11">
        <w:r w:rsidRPr="008D076C" w:rsidR="00C317BF">
          <w:rPr>
            <w:rStyle w:val="Hyperlink"/>
            <w:rFonts w:ascii="Century Gothic" w:hAnsi="Century Gothic"/>
            <w:b/>
            <w:bCs/>
            <w:color w:val="E73E97"/>
          </w:rPr>
          <w:t>https://www.healthwatchsutton.org.uk/enterview</w:t>
        </w:r>
      </w:hyperlink>
      <w:r w:rsidRPr="002C615D">
        <w:rPr>
          <w:rFonts w:ascii="Century Gothic" w:hAnsi="Century Gothic"/>
          <w:color w:val="auto"/>
        </w:rPr>
        <w:t xml:space="preserve">) and in their Annual Reports, an up-to-date and comprehensive list of all Authorised Representatives. </w:t>
      </w:r>
    </w:p>
    <w:p w:rsidRPr="00337A98" w:rsidR="00527335" w:rsidP="00527335" w:rsidRDefault="00527335" w14:paraId="04871466" w14:textId="77777777">
      <w:pPr>
        <w:rPr>
          <w:rFonts w:ascii="Century Gothic" w:hAnsi="Century Gothic"/>
        </w:rPr>
      </w:pPr>
      <w:r w:rsidRPr="002C615D">
        <w:rPr>
          <w:rFonts w:ascii="Century Gothic" w:hAnsi="Century Gothic"/>
          <w:color w:val="auto"/>
        </w:rPr>
        <w:t>HWS reserves the right to not appoint a person as an Authorised Representative if they are not successful in the recruitment process.</w:t>
      </w:r>
      <w:r w:rsidRPr="00337A98">
        <w:rPr>
          <w:rFonts w:ascii="Century Gothic" w:hAnsi="Century Gothic"/>
        </w:rPr>
        <w:t xml:space="preserve"> </w:t>
      </w:r>
    </w:p>
    <w:p w:rsidRPr="00337A98" w:rsidR="00527335" w:rsidP="00E57DC7" w:rsidRDefault="00527335" w14:paraId="4D263F1B" w14:textId="77777777">
      <w:pPr>
        <w:pStyle w:val="Heading2"/>
      </w:pPr>
      <w:bookmarkStart w:name="_Toc31809394" w:id="11"/>
      <w:bookmarkStart w:name="_Toc31880648" w:id="12"/>
      <w:r w:rsidRPr="00337A98">
        <w:t>Deciding to make a visit</w:t>
      </w:r>
      <w:bookmarkEnd w:id="11"/>
      <w:bookmarkEnd w:id="12"/>
      <w:r w:rsidRPr="00337A98">
        <w:t xml:space="preserve"> </w:t>
      </w:r>
    </w:p>
    <w:p w:rsidRPr="004C083E" w:rsidR="00527335" w:rsidP="00527335" w:rsidRDefault="00527335" w14:paraId="4F4FD589" w14:textId="77777777">
      <w:pPr>
        <w:rPr>
          <w:rFonts w:ascii="Century Gothic" w:hAnsi="Century Gothic"/>
          <w:color w:val="auto"/>
        </w:rPr>
      </w:pPr>
      <w:r w:rsidRPr="004C083E">
        <w:rPr>
          <w:rFonts w:ascii="Century Gothic" w:hAnsi="Century Gothic"/>
          <w:color w:val="auto"/>
        </w:rPr>
        <w:t xml:space="preserve">When planning an Enter and View visit, the Chief Executive will consider the following: </w:t>
      </w:r>
    </w:p>
    <w:p w:rsidRPr="004C083E" w:rsidR="00527335" w:rsidP="00527335" w:rsidRDefault="00527335" w14:paraId="44BFC3BC" w14:textId="77777777">
      <w:pPr>
        <w:pStyle w:val="ListParagraph"/>
        <w:numPr>
          <w:ilvl w:val="0"/>
          <w:numId w:val="7"/>
        </w:numPr>
        <w:rPr>
          <w:rFonts w:ascii="Century Gothic" w:hAnsi="Century Gothic"/>
          <w:color w:val="auto"/>
        </w:rPr>
      </w:pPr>
      <w:r w:rsidRPr="004C083E">
        <w:rPr>
          <w:rFonts w:ascii="Century Gothic" w:hAnsi="Century Gothic"/>
          <w:color w:val="auto"/>
        </w:rPr>
        <w:t>How the Enter and View activity links to the statutory functions in section 221 of the Local Government and Public Involvement in Health Act 2007</w:t>
      </w:r>
    </w:p>
    <w:p w:rsidRPr="004C083E" w:rsidR="00527335" w:rsidP="00527335" w:rsidRDefault="00527335" w14:paraId="0BC4CA68" w14:textId="77777777">
      <w:pPr>
        <w:pStyle w:val="ListParagraph"/>
        <w:numPr>
          <w:ilvl w:val="0"/>
          <w:numId w:val="7"/>
        </w:numPr>
        <w:rPr>
          <w:rFonts w:ascii="Century Gothic" w:hAnsi="Century Gothic"/>
          <w:color w:val="auto"/>
        </w:rPr>
      </w:pPr>
      <w:r w:rsidRPr="004C083E">
        <w:rPr>
          <w:rFonts w:ascii="Century Gothic" w:hAnsi="Century Gothic"/>
          <w:color w:val="auto"/>
        </w:rPr>
        <w:t xml:space="preserve">How the Enter and View activity will contribute to Healthwatch Sutton’s programme of work identified by the Board. </w:t>
      </w:r>
    </w:p>
    <w:p w:rsidRPr="004C083E" w:rsidR="00527335" w:rsidP="00527335" w:rsidRDefault="00527335" w14:paraId="1795B9B9" w14:textId="77777777">
      <w:pPr>
        <w:pStyle w:val="ListParagraph"/>
        <w:numPr>
          <w:ilvl w:val="0"/>
          <w:numId w:val="7"/>
        </w:numPr>
        <w:rPr>
          <w:rFonts w:ascii="Century Gothic" w:hAnsi="Century Gothic"/>
          <w:color w:val="auto"/>
        </w:rPr>
      </w:pPr>
      <w:r w:rsidRPr="004C083E">
        <w:rPr>
          <w:rFonts w:ascii="Century Gothic" w:hAnsi="Century Gothic"/>
          <w:color w:val="auto"/>
        </w:rPr>
        <w:t>The criteria which will be looked at across a number of premises</w:t>
      </w:r>
    </w:p>
    <w:p w:rsidRPr="004C083E" w:rsidR="00527335" w:rsidP="00527335" w:rsidRDefault="00527335" w14:paraId="66029BB0" w14:textId="77777777">
      <w:pPr>
        <w:pStyle w:val="ListParagraph"/>
        <w:numPr>
          <w:ilvl w:val="0"/>
          <w:numId w:val="7"/>
        </w:numPr>
        <w:rPr>
          <w:rFonts w:ascii="Century Gothic" w:hAnsi="Century Gothic"/>
          <w:color w:val="auto"/>
        </w:rPr>
      </w:pPr>
      <w:r w:rsidRPr="004C083E">
        <w:rPr>
          <w:rFonts w:ascii="Century Gothic" w:hAnsi="Century Gothic"/>
          <w:color w:val="auto"/>
        </w:rPr>
        <w:t xml:space="preserve">Situations where it would not be suitable for HWS to carry out an Enter and View visit (e.g. if there is a live safeguarding alert open with the service) </w:t>
      </w:r>
    </w:p>
    <w:p w:rsidRPr="004C083E" w:rsidR="00527335" w:rsidP="00527335" w:rsidRDefault="00527335" w14:paraId="0D1B9298" w14:textId="77777777">
      <w:pPr>
        <w:rPr>
          <w:rFonts w:ascii="Century Gothic" w:hAnsi="Century Gothic"/>
          <w:color w:val="auto"/>
        </w:rPr>
      </w:pPr>
      <w:r w:rsidRPr="004C083E">
        <w:rPr>
          <w:rFonts w:ascii="Century Gothic" w:hAnsi="Century Gothic"/>
          <w:color w:val="auto"/>
        </w:rPr>
        <w:t xml:space="preserve">The Chief Executive will be responsible for signing off for Enter and View activity. </w:t>
      </w:r>
    </w:p>
    <w:p w:rsidRPr="00337A98" w:rsidR="00527335" w:rsidP="00527335" w:rsidRDefault="00527335" w14:paraId="75D39B05" w14:textId="77777777">
      <w:pPr>
        <w:pStyle w:val="Heading3"/>
        <w:numPr>
          <w:ilvl w:val="1"/>
          <w:numId w:val="1"/>
        </w:numPr>
        <w:rPr>
          <w:rFonts w:ascii="Century Gothic" w:hAnsi="Century Gothic"/>
        </w:rPr>
      </w:pPr>
      <w:bookmarkStart w:name="_Toc31809395" w:id="13"/>
      <w:bookmarkStart w:name="_Toc31880649" w:id="14"/>
      <w:r w:rsidRPr="00337A98">
        <w:rPr>
          <w:rFonts w:ascii="Century Gothic" w:hAnsi="Century Gothic"/>
        </w:rPr>
        <w:t>Announced visits as part of Healthwatch Sutton’s work plan</w:t>
      </w:r>
      <w:bookmarkEnd w:id="13"/>
      <w:bookmarkEnd w:id="14"/>
      <w:r w:rsidRPr="00337A98">
        <w:rPr>
          <w:rFonts w:ascii="Century Gothic" w:hAnsi="Century Gothic"/>
        </w:rPr>
        <w:t xml:space="preserve"> </w:t>
      </w:r>
    </w:p>
    <w:p w:rsidRPr="004C083E" w:rsidR="00527335" w:rsidP="00527335" w:rsidRDefault="00527335" w14:paraId="51EF0BCC" w14:textId="77777777">
      <w:pPr>
        <w:spacing w:before="240"/>
        <w:rPr>
          <w:rFonts w:ascii="Century Gothic" w:hAnsi="Century Gothic"/>
          <w:color w:val="auto"/>
        </w:rPr>
      </w:pPr>
      <w:r w:rsidRPr="004C083E">
        <w:rPr>
          <w:rFonts w:ascii="Century Gothic" w:hAnsi="Century Gothic"/>
          <w:color w:val="auto"/>
        </w:rPr>
        <w:t>Prior to the visit, HWS will supply the provider of the service with the following information in writing:</w:t>
      </w:r>
    </w:p>
    <w:p w:rsidRPr="004C083E" w:rsidR="00527335" w:rsidP="00527335" w:rsidRDefault="00527335" w14:paraId="5AA46A0C" w14:textId="35CC06B9">
      <w:pPr>
        <w:pStyle w:val="ListParagraph"/>
        <w:numPr>
          <w:ilvl w:val="0"/>
          <w:numId w:val="8"/>
        </w:numPr>
        <w:spacing w:before="240"/>
        <w:rPr>
          <w:rFonts w:ascii="Century Gothic" w:hAnsi="Century Gothic"/>
          <w:color w:val="auto"/>
        </w:rPr>
      </w:pPr>
      <w:r w:rsidRPr="004C083E">
        <w:rPr>
          <w:rFonts w:ascii="Century Gothic" w:hAnsi="Century Gothic"/>
          <w:color w:val="auto"/>
        </w:rPr>
        <w:t>Proposed date and time for the visit, along with an approximate duration</w:t>
      </w:r>
      <w:r w:rsidRPr="004C083E" w:rsidR="009C0699">
        <w:rPr>
          <w:rFonts w:ascii="Century Gothic" w:hAnsi="Century Gothic"/>
          <w:color w:val="auto"/>
        </w:rPr>
        <w:t xml:space="preserve"> or </w:t>
      </w:r>
      <w:r w:rsidRPr="004C083E" w:rsidR="00FF25A3">
        <w:rPr>
          <w:rFonts w:ascii="Century Gothic" w:hAnsi="Century Gothic"/>
          <w:color w:val="auto"/>
        </w:rPr>
        <w:t>a range of dates</w:t>
      </w:r>
      <w:r w:rsidRPr="004C083E" w:rsidR="00BD7E1D">
        <w:rPr>
          <w:rFonts w:ascii="Century Gothic" w:hAnsi="Century Gothic"/>
          <w:color w:val="auto"/>
        </w:rPr>
        <w:t xml:space="preserve"> (e.g. 4-10 April)</w:t>
      </w:r>
      <w:r w:rsidRPr="004C083E" w:rsidR="00FF25A3">
        <w:rPr>
          <w:rFonts w:ascii="Century Gothic" w:hAnsi="Century Gothic"/>
          <w:color w:val="auto"/>
        </w:rPr>
        <w:t xml:space="preserve"> and the number of visits expected to be carried out</w:t>
      </w:r>
      <w:r w:rsidRPr="004C083E">
        <w:rPr>
          <w:rFonts w:ascii="Century Gothic" w:hAnsi="Century Gothic"/>
          <w:color w:val="auto"/>
        </w:rPr>
        <w:t xml:space="preserve">. </w:t>
      </w:r>
    </w:p>
    <w:p w:rsidRPr="004C083E" w:rsidR="00527335" w:rsidP="00527335" w:rsidRDefault="00527335" w14:paraId="70853F80" w14:textId="77777777">
      <w:pPr>
        <w:pStyle w:val="ListParagraph"/>
        <w:numPr>
          <w:ilvl w:val="0"/>
          <w:numId w:val="8"/>
        </w:numPr>
        <w:spacing w:before="240"/>
        <w:rPr>
          <w:rFonts w:ascii="Century Gothic" w:hAnsi="Century Gothic"/>
          <w:color w:val="auto"/>
        </w:rPr>
      </w:pPr>
      <w:r w:rsidRPr="004C083E">
        <w:rPr>
          <w:rFonts w:ascii="Century Gothic" w:hAnsi="Century Gothic"/>
          <w:color w:val="auto"/>
        </w:rPr>
        <w:t xml:space="preserve">The information that has prompted the visit, excluding the source of the information. </w:t>
      </w:r>
    </w:p>
    <w:p w:rsidRPr="004C083E" w:rsidR="00527335" w:rsidP="00527335" w:rsidRDefault="00527335" w14:paraId="42E1F5FB" w14:textId="77777777">
      <w:pPr>
        <w:pStyle w:val="ListParagraph"/>
        <w:numPr>
          <w:ilvl w:val="0"/>
          <w:numId w:val="8"/>
        </w:numPr>
        <w:spacing w:before="240"/>
        <w:rPr>
          <w:rFonts w:ascii="Century Gothic" w:hAnsi="Century Gothic"/>
          <w:color w:val="auto"/>
        </w:rPr>
      </w:pPr>
      <w:r w:rsidRPr="004C083E">
        <w:rPr>
          <w:rFonts w:ascii="Century Gothic" w:hAnsi="Century Gothic"/>
          <w:color w:val="auto"/>
        </w:rPr>
        <w:t xml:space="preserve">The purpose of the visit. </w:t>
      </w:r>
    </w:p>
    <w:p w:rsidRPr="004C083E" w:rsidR="00527335" w:rsidP="00527335" w:rsidRDefault="00527335" w14:paraId="71A667FC" w14:textId="77777777">
      <w:pPr>
        <w:pStyle w:val="ListParagraph"/>
        <w:numPr>
          <w:ilvl w:val="0"/>
          <w:numId w:val="8"/>
        </w:numPr>
        <w:spacing w:before="240"/>
        <w:rPr>
          <w:rFonts w:ascii="Century Gothic" w:hAnsi="Century Gothic"/>
          <w:color w:val="auto"/>
        </w:rPr>
      </w:pPr>
      <w:r w:rsidRPr="004C083E">
        <w:rPr>
          <w:rFonts w:ascii="Century Gothic" w:hAnsi="Century Gothic"/>
          <w:color w:val="auto"/>
        </w:rPr>
        <w:t xml:space="preserve">The overall structure of the visit. </w:t>
      </w:r>
    </w:p>
    <w:p w:rsidRPr="004C083E" w:rsidR="00527335" w:rsidP="00527335" w:rsidRDefault="00527335" w14:paraId="73C2B2FB" w14:textId="236C68D5">
      <w:pPr>
        <w:spacing w:before="240"/>
        <w:rPr>
          <w:rFonts w:ascii="Century Gothic" w:hAnsi="Century Gothic"/>
          <w:color w:val="auto"/>
        </w:rPr>
      </w:pPr>
      <w:r w:rsidRPr="004C083E">
        <w:rPr>
          <w:rFonts w:ascii="Century Gothic" w:hAnsi="Century Gothic"/>
          <w:color w:val="auto"/>
        </w:rPr>
        <w:t xml:space="preserve">Where necessary, the Chief Executive will have a pre-planning meeting with the service provider. </w:t>
      </w:r>
    </w:p>
    <w:p w:rsidRPr="004C083E" w:rsidR="00527335" w:rsidP="00527335" w:rsidRDefault="00527335" w14:paraId="0F593854" w14:textId="77777777">
      <w:pPr>
        <w:spacing w:before="240"/>
        <w:rPr>
          <w:rFonts w:ascii="Century Gothic" w:hAnsi="Century Gothic"/>
          <w:color w:val="auto"/>
        </w:rPr>
      </w:pPr>
      <w:r w:rsidRPr="004C083E">
        <w:rPr>
          <w:rFonts w:ascii="Century Gothic" w:hAnsi="Century Gothic"/>
          <w:color w:val="auto"/>
        </w:rPr>
        <w:t>The visit itself will have a standard structure to ensure:</w:t>
      </w:r>
    </w:p>
    <w:p w:rsidRPr="004C083E" w:rsidR="00527335" w:rsidP="00527335" w:rsidRDefault="00527335" w14:paraId="6CD2ACC7"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Providers know the names of the Authorised Representatives involved. </w:t>
      </w:r>
    </w:p>
    <w:p w:rsidRPr="004C083E" w:rsidR="00527335" w:rsidP="00527335" w:rsidRDefault="00527335" w14:paraId="693B4C52" w14:textId="649F0906">
      <w:pPr>
        <w:pStyle w:val="ListParagraph"/>
        <w:numPr>
          <w:ilvl w:val="0"/>
          <w:numId w:val="9"/>
        </w:numPr>
        <w:spacing w:before="240"/>
        <w:rPr>
          <w:rFonts w:ascii="Century Gothic" w:hAnsi="Century Gothic"/>
          <w:color w:val="auto"/>
        </w:rPr>
      </w:pPr>
      <w:r w:rsidRPr="004C083E">
        <w:rPr>
          <w:rFonts w:ascii="Century Gothic" w:hAnsi="Century Gothic"/>
          <w:color w:val="auto"/>
        </w:rPr>
        <w:t>Staff and service users whom the Authorised Representatives wi</w:t>
      </w:r>
      <w:r w:rsidR="00DE0C4C">
        <w:rPr>
          <w:rFonts w:ascii="Century Gothic" w:hAnsi="Century Gothic"/>
          <w:color w:val="auto"/>
        </w:rPr>
        <w:t>s</w:t>
      </w:r>
      <w:r w:rsidRPr="004C083E">
        <w:rPr>
          <w:rFonts w:ascii="Century Gothic" w:hAnsi="Century Gothic"/>
          <w:color w:val="auto"/>
        </w:rPr>
        <w:t xml:space="preserve">h to interview are identified. </w:t>
      </w:r>
      <w:r w:rsidR="00B1406E">
        <w:rPr>
          <w:rFonts w:ascii="Century Gothic" w:hAnsi="Century Gothic"/>
          <w:color w:val="auto"/>
        </w:rPr>
        <w:t>(I</w:t>
      </w:r>
      <w:r w:rsidRPr="00B1406E" w:rsidR="00B1406E">
        <w:rPr>
          <w:rFonts w:ascii="Century Gothic" w:hAnsi="Century Gothic"/>
          <w:color w:val="auto"/>
        </w:rPr>
        <w:t>nterviews are not limited to the people identified</w:t>
      </w:r>
      <w:r w:rsidR="00B1406E">
        <w:rPr>
          <w:rFonts w:ascii="Century Gothic" w:hAnsi="Century Gothic"/>
          <w:color w:val="auto"/>
        </w:rPr>
        <w:t xml:space="preserve"> –</w:t>
      </w:r>
      <w:r w:rsidRPr="00B1406E" w:rsidR="00B1406E">
        <w:rPr>
          <w:rFonts w:ascii="Century Gothic" w:hAnsi="Century Gothic"/>
          <w:color w:val="auto"/>
        </w:rPr>
        <w:t xml:space="preserve"> </w:t>
      </w:r>
      <w:r w:rsidR="00B1406E">
        <w:rPr>
          <w:rFonts w:ascii="Century Gothic" w:hAnsi="Century Gothic"/>
          <w:color w:val="auto"/>
        </w:rPr>
        <w:t xml:space="preserve">other people </w:t>
      </w:r>
      <w:r w:rsidRPr="00B1406E" w:rsidR="00B1406E">
        <w:rPr>
          <w:rFonts w:ascii="Century Gothic" w:hAnsi="Century Gothic"/>
          <w:color w:val="auto"/>
        </w:rPr>
        <w:t xml:space="preserve">can be </w:t>
      </w:r>
      <w:r w:rsidR="009A2719">
        <w:rPr>
          <w:rFonts w:ascii="Century Gothic" w:hAnsi="Century Gothic"/>
          <w:color w:val="auto"/>
        </w:rPr>
        <w:t xml:space="preserve">interviewed, as long as the </w:t>
      </w:r>
      <w:r w:rsidRPr="00B1406E" w:rsidR="00B1406E">
        <w:rPr>
          <w:rFonts w:ascii="Century Gothic" w:hAnsi="Century Gothic"/>
          <w:color w:val="auto"/>
        </w:rPr>
        <w:t xml:space="preserve">provider </w:t>
      </w:r>
      <w:r w:rsidR="009A2719">
        <w:rPr>
          <w:rFonts w:ascii="Century Gothic" w:hAnsi="Century Gothic"/>
          <w:color w:val="auto"/>
        </w:rPr>
        <w:t xml:space="preserve">has no </w:t>
      </w:r>
      <w:r w:rsidRPr="00B1406E" w:rsidR="00B1406E">
        <w:rPr>
          <w:rFonts w:ascii="Century Gothic" w:hAnsi="Century Gothic"/>
          <w:color w:val="auto"/>
        </w:rPr>
        <w:t>good reason</w:t>
      </w:r>
      <w:r w:rsidR="009A2719">
        <w:rPr>
          <w:rFonts w:ascii="Century Gothic" w:hAnsi="Century Gothic"/>
          <w:color w:val="auto"/>
        </w:rPr>
        <w:t xml:space="preserve"> for objecting to this</w:t>
      </w:r>
      <w:r w:rsidRPr="00B1406E" w:rsidR="00B1406E">
        <w:rPr>
          <w:rFonts w:ascii="Century Gothic" w:hAnsi="Century Gothic"/>
          <w:color w:val="auto"/>
        </w:rPr>
        <w:t>.</w:t>
      </w:r>
      <w:r w:rsidR="00746CC7">
        <w:rPr>
          <w:rFonts w:ascii="Century Gothic" w:hAnsi="Century Gothic"/>
          <w:color w:val="auto"/>
        </w:rPr>
        <w:t>)</w:t>
      </w:r>
      <w:r w:rsidRPr="00B1406E" w:rsidR="00B1406E">
        <w:rPr>
          <w:rFonts w:ascii="Century Gothic" w:hAnsi="Century Gothic"/>
          <w:color w:val="auto"/>
        </w:rPr>
        <w:t xml:space="preserve">  </w:t>
      </w:r>
    </w:p>
    <w:p w:rsidRPr="004C083E" w:rsidR="00527335" w:rsidP="00527335" w:rsidRDefault="00527335" w14:paraId="22EBD3B6"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Providers know the activities the Authorised Representatives wish to observe. </w:t>
      </w:r>
    </w:p>
    <w:p w:rsidRPr="004C083E" w:rsidR="00527335" w:rsidP="00527335" w:rsidRDefault="00527335" w14:paraId="4C25B280"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Consideration is given as to whether or not it would be beneficial for staff members or service users to accompany the Authorised Representatives and visits be conducted accordingly. </w:t>
      </w:r>
    </w:p>
    <w:p w:rsidRPr="004C083E" w:rsidR="00527335" w:rsidP="00527335" w:rsidRDefault="00527335" w14:paraId="5D3DB9FB"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Notice is given if any leaflets or other information about Healthwatch Sutton will be distributed during the visit. </w:t>
      </w:r>
    </w:p>
    <w:p w:rsidRPr="004C083E" w:rsidR="00527335" w:rsidP="00527335" w:rsidRDefault="00527335" w14:paraId="2414B817"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Providers are informed that they will receive draft report of findings and recommendations prior to the final drafting and circulation of the final Enter and View report and will have a specified period in which to submit comments. </w:t>
      </w:r>
    </w:p>
    <w:p w:rsidRPr="004C083E" w:rsidR="00527335" w:rsidP="00527335" w:rsidRDefault="00527335" w14:paraId="49E6FF08"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Providers are invited to submit written actions they will take in response to the draft report for inclusion in the final version. </w:t>
      </w:r>
    </w:p>
    <w:p w:rsidRPr="004C083E" w:rsidR="00527335" w:rsidP="00527335" w:rsidRDefault="00527335" w14:paraId="3DD2A3FB" w14:textId="77777777">
      <w:pPr>
        <w:pStyle w:val="ListParagraph"/>
        <w:numPr>
          <w:ilvl w:val="0"/>
          <w:numId w:val="9"/>
        </w:numPr>
        <w:spacing w:before="240"/>
        <w:rPr>
          <w:rFonts w:ascii="Century Gothic" w:hAnsi="Century Gothic"/>
          <w:color w:val="auto"/>
        </w:rPr>
      </w:pPr>
      <w:r w:rsidRPr="004C083E">
        <w:rPr>
          <w:rFonts w:ascii="Century Gothic" w:hAnsi="Century Gothic"/>
          <w:color w:val="auto"/>
        </w:rPr>
        <w:t xml:space="preserve">Providers know that, where appropriate, draft findings will be shared with relevant parties including any whose information may have led to the visit. </w:t>
      </w:r>
    </w:p>
    <w:p w:rsidRPr="00337A98" w:rsidR="00527335" w:rsidP="00527335" w:rsidRDefault="00527335" w14:paraId="54E9B85D" w14:textId="77777777">
      <w:pPr>
        <w:pStyle w:val="Heading3"/>
        <w:numPr>
          <w:ilvl w:val="1"/>
          <w:numId w:val="1"/>
        </w:numPr>
        <w:spacing w:after="240"/>
        <w:rPr>
          <w:rFonts w:ascii="Century Gothic" w:hAnsi="Century Gothic"/>
        </w:rPr>
      </w:pPr>
      <w:bookmarkStart w:name="_Toc31809396" w:id="15"/>
      <w:bookmarkStart w:name="_Toc31880650" w:id="16"/>
      <w:r w:rsidRPr="00337A98">
        <w:rPr>
          <w:rFonts w:ascii="Century Gothic" w:hAnsi="Century Gothic"/>
        </w:rPr>
        <w:t>Unannounced visits</w:t>
      </w:r>
      <w:bookmarkEnd w:id="15"/>
      <w:bookmarkEnd w:id="16"/>
      <w:r w:rsidRPr="00337A98">
        <w:rPr>
          <w:rFonts w:ascii="Century Gothic" w:hAnsi="Century Gothic"/>
        </w:rPr>
        <w:t xml:space="preserve"> </w:t>
      </w:r>
    </w:p>
    <w:p w:rsidRPr="004C083E" w:rsidR="00527335" w:rsidP="00527335" w:rsidRDefault="00527335" w14:paraId="25529C02" w14:textId="77777777">
      <w:pPr>
        <w:rPr>
          <w:rFonts w:ascii="Century Gothic" w:hAnsi="Century Gothic"/>
          <w:color w:val="auto"/>
        </w:rPr>
      </w:pPr>
      <w:r w:rsidRPr="004C083E">
        <w:rPr>
          <w:rFonts w:ascii="Century Gothic" w:hAnsi="Century Gothic"/>
          <w:color w:val="auto"/>
        </w:rPr>
        <w:t xml:space="preserve">Unannounced visits should not take place if any other approach could produce the information HWS is seeking. Unannounced visits must be in response to a concern highlighted by the community (e.g. reports of dirty premises, statistics showing high infection) or spot checks to review aspects of service delivery (e.g. waiting times, clinic attendances). </w:t>
      </w:r>
    </w:p>
    <w:p w:rsidRPr="004C083E" w:rsidR="00527335" w:rsidP="00527335" w:rsidRDefault="00527335" w14:paraId="6D37B27E" w14:textId="77777777">
      <w:pPr>
        <w:rPr>
          <w:rFonts w:ascii="Century Gothic" w:hAnsi="Century Gothic"/>
          <w:color w:val="auto"/>
        </w:rPr>
      </w:pPr>
      <w:r w:rsidRPr="004C083E">
        <w:rPr>
          <w:rFonts w:ascii="Century Gothic" w:hAnsi="Century Gothic"/>
          <w:color w:val="auto"/>
        </w:rPr>
        <w:t xml:space="preserve">The rationale for undertaking such a visit must be documented by HWS, along with the reason for not addressing the situation in another way. Where HWS decides it is necessary to conduct an unannounced visit, they agree to provide the information above upon arrival. </w:t>
      </w:r>
    </w:p>
    <w:p w:rsidRPr="00337A98" w:rsidR="007A0407" w:rsidRDefault="007A0407" w14:paraId="3AE44FEE" w14:textId="77777777">
      <w:pPr>
        <w:rPr>
          <w:rFonts w:ascii="Century Gothic" w:hAnsi="Century Gothic"/>
        </w:rPr>
      </w:pPr>
    </w:p>
    <w:sectPr w:rsidRPr="00337A98" w:rsidR="007A0407">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21F" w:rsidP="00527335" w:rsidRDefault="00C2321F" w14:paraId="274B2C5A" w14:textId="77777777">
      <w:pPr>
        <w:spacing w:after="0" w:line="240" w:lineRule="auto"/>
      </w:pPr>
      <w:r>
        <w:separator/>
      </w:r>
    </w:p>
  </w:endnote>
  <w:endnote w:type="continuationSeparator" w:id="0">
    <w:p w:rsidR="00C2321F" w:rsidP="00527335" w:rsidRDefault="00C2321F" w14:paraId="0540D9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454A" w:rsidR="008849B3" w:rsidP="008849B3" w:rsidRDefault="00C30C5C" w14:paraId="32D1581F" w14:textId="36EAB0FA">
    <w:pPr>
      <w:pStyle w:val="Footer"/>
      <w:rPr>
        <w:rFonts w:ascii="Century Gothic" w:hAnsi="Century Gothic"/>
        <w:b/>
        <w:bCs/>
        <w:color w:val="E73E97"/>
      </w:rPr>
    </w:pPr>
    <w:r w:rsidRPr="00A9454A">
      <w:rPr>
        <w:rFonts w:ascii="Century Gothic" w:hAnsi="Century Gothic"/>
        <w:b/>
        <w:bCs/>
        <w:color w:val="E73E97"/>
      </w:rPr>
      <w:t xml:space="preserve">To be reviewed: </w:t>
    </w:r>
    <w:r w:rsidRPr="00A9454A" w:rsidR="00B16790">
      <w:rPr>
        <w:rFonts w:ascii="Century Gothic" w:hAnsi="Century Gothic"/>
        <w:b/>
        <w:bCs/>
        <w:color w:val="E73E97"/>
      </w:rPr>
      <w:t>15/11/2</w:t>
    </w:r>
    <w:r w:rsidRPr="00A9454A" w:rsidR="00DA5FBE">
      <w:rPr>
        <w:rFonts w:ascii="Century Gothic" w:hAnsi="Century Gothic"/>
        <w:b/>
        <w:bCs/>
        <w:color w:val="E73E97"/>
      </w:rPr>
      <w:t>6</w:t>
    </w:r>
    <w:r w:rsidRPr="00A9454A" w:rsidR="00992D5E">
      <w:rPr>
        <w:rFonts w:ascii="Century Gothic" w:hAnsi="Century Gothic"/>
        <w:b/>
        <w:bCs/>
        <w:color w:val="E73E97"/>
      </w:rPr>
      <w:tab/>
    </w:r>
    <w:r w:rsidRPr="00A9454A" w:rsidR="00992D5E">
      <w:rPr>
        <w:rFonts w:ascii="Century Gothic" w:hAnsi="Century Gothic"/>
        <w:b/>
        <w:bCs/>
        <w:color w:val="E73E97"/>
      </w:rPr>
      <w:tab/>
    </w:r>
    <w:r w:rsidRPr="00A9454A" w:rsidR="00992D5E">
      <w:rPr>
        <w:rFonts w:ascii="Century Gothic" w:hAnsi="Century Gothic"/>
        <w:b/>
        <w:bCs/>
        <w:color w:val="E73E97"/>
      </w:rPr>
      <w:t xml:space="preserve">Page </w:t>
    </w:r>
    <w:r w:rsidRPr="00A9454A" w:rsidR="00992D5E">
      <w:rPr>
        <w:rFonts w:ascii="Century Gothic" w:hAnsi="Century Gothic"/>
        <w:b/>
        <w:bCs/>
        <w:color w:val="E73E97"/>
      </w:rPr>
      <w:fldChar w:fldCharType="begin"/>
    </w:r>
    <w:r w:rsidRPr="00A9454A" w:rsidR="00992D5E">
      <w:rPr>
        <w:rFonts w:ascii="Century Gothic" w:hAnsi="Century Gothic"/>
        <w:b/>
        <w:bCs/>
        <w:color w:val="E73E97"/>
      </w:rPr>
      <w:instrText>PAGE   \* MERGEFORMAT</w:instrText>
    </w:r>
    <w:r w:rsidRPr="00A9454A" w:rsidR="00992D5E">
      <w:rPr>
        <w:rFonts w:ascii="Century Gothic" w:hAnsi="Century Gothic"/>
        <w:b/>
        <w:bCs/>
        <w:color w:val="E73E97"/>
      </w:rPr>
      <w:fldChar w:fldCharType="separate"/>
    </w:r>
    <w:r w:rsidRPr="00A9454A" w:rsidR="00992D5E">
      <w:rPr>
        <w:rFonts w:ascii="Century Gothic" w:hAnsi="Century Gothic"/>
        <w:b/>
        <w:bCs/>
        <w:color w:val="E73E97"/>
      </w:rPr>
      <w:t>1</w:t>
    </w:r>
    <w:r w:rsidRPr="00A9454A" w:rsidR="00992D5E">
      <w:rPr>
        <w:rFonts w:ascii="Century Gothic" w:hAnsi="Century Gothic"/>
        <w:b/>
        <w:bCs/>
        <w:color w:val="E73E9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21F" w:rsidP="00527335" w:rsidRDefault="00C2321F" w14:paraId="17603E34" w14:textId="77777777">
      <w:pPr>
        <w:spacing w:after="0" w:line="240" w:lineRule="auto"/>
      </w:pPr>
      <w:r>
        <w:separator/>
      </w:r>
    </w:p>
  </w:footnote>
  <w:footnote w:type="continuationSeparator" w:id="0">
    <w:p w:rsidR="00C2321F" w:rsidP="00527335" w:rsidRDefault="00C2321F" w14:paraId="256C694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E7D"/>
    <w:multiLevelType w:val="multilevel"/>
    <w:tmpl w:val="AA7CE714"/>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BA451E4"/>
    <w:multiLevelType w:val="hybridMultilevel"/>
    <w:tmpl w:val="D6CA8E28"/>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CC1EF3"/>
    <w:multiLevelType w:val="hybridMultilevel"/>
    <w:tmpl w:val="EA28B4DC"/>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0F0357"/>
    <w:multiLevelType w:val="hybridMultilevel"/>
    <w:tmpl w:val="9EEC4BE2"/>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BD6532"/>
    <w:multiLevelType w:val="hybridMultilevel"/>
    <w:tmpl w:val="03622B4A"/>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E107C8"/>
    <w:multiLevelType w:val="hybridMultilevel"/>
    <w:tmpl w:val="4A10A75A"/>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271655"/>
    <w:multiLevelType w:val="hybridMultilevel"/>
    <w:tmpl w:val="128C0A72"/>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D239A8"/>
    <w:multiLevelType w:val="hybridMultilevel"/>
    <w:tmpl w:val="570E3184"/>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356EFA"/>
    <w:multiLevelType w:val="hybridMultilevel"/>
    <w:tmpl w:val="7024A8D6"/>
    <w:lvl w:ilvl="0" w:tplc="053AD30E">
      <w:start w:val="1"/>
      <w:numFmt w:val="bullet"/>
      <w:lvlText w:val=""/>
      <w:lvlJc w:val="left"/>
      <w:pPr>
        <w:ind w:left="720" w:hanging="360"/>
      </w:pPr>
      <w:rPr>
        <w:rFonts w:hint="default" w:ascii="Symbol" w:hAnsi="Symbol"/>
        <w:color w:val="84BD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3991842">
    <w:abstractNumId w:val="0"/>
  </w:num>
  <w:num w:numId="2" w16cid:durableId="147750236">
    <w:abstractNumId w:val="4"/>
  </w:num>
  <w:num w:numId="3" w16cid:durableId="696154682">
    <w:abstractNumId w:val="7"/>
  </w:num>
  <w:num w:numId="4" w16cid:durableId="400559949">
    <w:abstractNumId w:val="2"/>
  </w:num>
  <w:num w:numId="5" w16cid:durableId="341201518">
    <w:abstractNumId w:val="5"/>
  </w:num>
  <w:num w:numId="6" w16cid:durableId="1369795875">
    <w:abstractNumId w:val="6"/>
  </w:num>
  <w:num w:numId="7" w16cid:durableId="1180780524">
    <w:abstractNumId w:val="3"/>
  </w:num>
  <w:num w:numId="8" w16cid:durableId="1897233668">
    <w:abstractNumId w:val="1"/>
  </w:num>
  <w:num w:numId="9" w16cid:durableId="6785277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35"/>
    <w:rsid w:val="001D6B5C"/>
    <w:rsid w:val="00203C23"/>
    <w:rsid w:val="002C615D"/>
    <w:rsid w:val="00337A98"/>
    <w:rsid w:val="0041082A"/>
    <w:rsid w:val="004871ED"/>
    <w:rsid w:val="004C083E"/>
    <w:rsid w:val="00527335"/>
    <w:rsid w:val="006E567C"/>
    <w:rsid w:val="00746CC7"/>
    <w:rsid w:val="007A0407"/>
    <w:rsid w:val="008849B3"/>
    <w:rsid w:val="008C59D2"/>
    <w:rsid w:val="008D076C"/>
    <w:rsid w:val="00992D5E"/>
    <w:rsid w:val="009A2719"/>
    <w:rsid w:val="009C0699"/>
    <w:rsid w:val="00A9454A"/>
    <w:rsid w:val="00B1406E"/>
    <w:rsid w:val="00B16790"/>
    <w:rsid w:val="00BB1984"/>
    <w:rsid w:val="00BD7E1D"/>
    <w:rsid w:val="00C2321F"/>
    <w:rsid w:val="00C30C5C"/>
    <w:rsid w:val="00C317BF"/>
    <w:rsid w:val="00CC22E5"/>
    <w:rsid w:val="00CD0776"/>
    <w:rsid w:val="00CE7F17"/>
    <w:rsid w:val="00D63E65"/>
    <w:rsid w:val="00D814C0"/>
    <w:rsid w:val="00DA5FBE"/>
    <w:rsid w:val="00DE0C4C"/>
    <w:rsid w:val="00E2726A"/>
    <w:rsid w:val="00E57DC7"/>
    <w:rsid w:val="00EF178B"/>
    <w:rsid w:val="00FF25A3"/>
    <w:rsid w:val="44589DB0"/>
    <w:rsid w:val="581A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7DF"/>
  <w15:chartTrackingRefBased/>
  <w15:docId w15:val="{BBD0353B-79AB-4C7D-B11A-4D06D0D02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7335"/>
    <w:rPr>
      <w:rFonts w:ascii="Trebuchet MS" w:hAnsi="Trebuchet MS"/>
      <w:color w:val="004F6B"/>
    </w:rPr>
  </w:style>
  <w:style w:type="paragraph" w:styleId="Heading1">
    <w:name w:val="heading 1"/>
    <w:basedOn w:val="Normal"/>
    <w:next w:val="Normal"/>
    <w:link w:val="Heading1Char"/>
    <w:uiPriority w:val="9"/>
    <w:qFormat/>
    <w:rsid w:val="0052733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E57DC7"/>
    <w:pPr>
      <w:keepNext/>
      <w:keepLines/>
      <w:numPr>
        <w:numId w:val="1"/>
      </w:numPr>
      <w:spacing w:before="240" w:after="240"/>
      <w:ind w:left="714" w:hanging="357"/>
      <w:outlineLvl w:val="1"/>
    </w:pPr>
    <w:rPr>
      <w:rFonts w:eastAsiaTheme="majorEastAsia" w:cstheme="majorBidi"/>
      <w:b/>
      <w:color w:val="E73E97"/>
      <w:sz w:val="24"/>
      <w:szCs w:val="26"/>
    </w:rPr>
  </w:style>
  <w:style w:type="paragraph" w:styleId="Heading3">
    <w:name w:val="heading 3"/>
    <w:basedOn w:val="Normal"/>
    <w:next w:val="Normal"/>
    <w:link w:val="Heading3Char"/>
    <w:uiPriority w:val="9"/>
    <w:unhideWhenUsed/>
    <w:qFormat/>
    <w:rsid w:val="00527335"/>
    <w:pPr>
      <w:keepNext/>
      <w:keepLines/>
      <w:spacing w:before="40" w:after="0"/>
      <w:outlineLvl w:val="2"/>
    </w:pPr>
    <w:rPr>
      <w:rFonts w:eastAsiaTheme="majorEastAsia" w:cstheme="majorBidi"/>
      <w:b/>
      <w:color w:val="84BD0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57DC7"/>
    <w:rPr>
      <w:rFonts w:ascii="Trebuchet MS" w:hAnsi="Trebuchet MS" w:eastAsiaTheme="majorEastAsia" w:cstheme="majorBidi"/>
      <w:b/>
      <w:color w:val="E73E97"/>
      <w:sz w:val="24"/>
      <w:szCs w:val="26"/>
    </w:rPr>
  </w:style>
  <w:style w:type="paragraph" w:styleId="Header">
    <w:name w:val="header"/>
    <w:basedOn w:val="Normal"/>
    <w:link w:val="HeaderChar"/>
    <w:uiPriority w:val="99"/>
    <w:unhideWhenUsed/>
    <w:rsid w:val="005273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7335"/>
  </w:style>
  <w:style w:type="paragraph" w:styleId="Footer">
    <w:name w:val="footer"/>
    <w:basedOn w:val="Normal"/>
    <w:link w:val="FooterChar"/>
    <w:uiPriority w:val="99"/>
    <w:unhideWhenUsed/>
    <w:rsid w:val="005273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7335"/>
  </w:style>
  <w:style w:type="character" w:styleId="Heading1Char" w:customStyle="1">
    <w:name w:val="Heading 1 Char"/>
    <w:basedOn w:val="DefaultParagraphFont"/>
    <w:link w:val="Heading1"/>
    <w:uiPriority w:val="9"/>
    <w:rsid w:val="00527335"/>
    <w:rPr>
      <w:rFonts w:ascii="Trebuchet MS" w:hAnsi="Trebuchet MS" w:eastAsiaTheme="majorEastAsia" w:cstheme="majorBidi"/>
      <w:b/>
      <w:color w:val="004F6B"/>
      <w:sz w:val="28"/>
      <w:szCs w:val="32"/>
    </w:rPr>
  </w:style>
  <w:style w:type="character" w:styleId="Heading3Char" w:customStyle="1">
    <w:name w:val="Heading 3 Char"/>
    <w:basedOn w:val="DefaultParagraphFont"/>
    <w:link w:val="Heading3"/>
    <w:uiPriority w:val="9"/>
    <w:rsid w:val="00527335"/>
    <w:rPr>
      <w:rFonts w:ascii="Trebuchet MS" w:hAnsi="Trebuchet MS" w:eastAsiaTheme="majorEastAsia" w:cstheme="majorBidi"/>
      <w:b/>
      <w:color w:val="84BD00"/>
      <w:szCs w:val="24"/>
    </w:rPr>
  </w:style>
  <w:style w:type="paragraph" w:styleId="ListParagraph">
    <w:name w:val="List Paragraph"/>
    <w:basedOn w:val="Normal"/>
    <w:uiPriority w:val="34"/>
    <w:qFormat/>
    <w:rsid w:val="00527335"/>
    <w:pPr>
      <w:ind w:left="720"/>
      <w:contextualSpacing/>
    </w:pPr>
  </w:style>
  <w:style w:type="character" w:styleId="Hyperlink">
    <w:name w:val="Hyperlink"/>
    <w:basedOn w:val="DefaultParagraphFont"/>
    <w:uiPriority w:val="99"/>
    <w:unhideWhenUsed/>
    <w:rsid w:val="00527335"/>
    <w:rPr>
      <w:color w:val="0563C1" w:themeColor="hyperlink"/>
      <w:u w:val="single"/>
    </w:rPr>
  </w:style>
  <w:style w:type="character" w:styleId="UnresolvedMention">
    <w:name w:val="Unresolved Mention"/>
    <w:basedOn w:val="DefaultParagraphFont"/>
    <w:uiPriority w:val="99"/>
    <w:semiHidden/>
    <w:unhideWhenUsed/>
    <w:rsid w:val="00C3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althwatchsutton.org.uk/enterview"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D24FD-2605-43B7-BC68-5A13FD3DC4EA}">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6EBAE205-F6B0-43D6-9F99-ADF14F3F8546}">
  <ds:schemaRefs>
    <ds:schemaRef ds:uri="http://schemas.microsoft.com/sharepoint/v3/contenttype/forms"/>
  </ds:schemaRefs>
</ds:datastoreItem>
</file>

<file path=customXml/itemProps3.xml><?xml version="1.0" encoding="utf-8"?>
<ds:datastoreItem xmlns:ds="http://schemas.openxmlformats.org/officeDocument/2006/customXml" ds:itemID="{4515992B-2939-4D8C-9DEB-1B860ABED2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Sutton CVS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Thatcher</dc:creator>
  <keywords/>
  <dc:description/>
  <lastModifiedBy>Andrew McDonald</lastModifiedBy>
  <revision>34</revision>
  <dcterms:created xsi:type="dcterms:W3CDTF">2020-02-20T16:37:00.0000000Z</dcterms:created>
  <dcterms:modified xsi:type="dcterms:W3CDTF">2024-02-13T15:41:27.7483938Z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